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98" w:rsidRPr="000B5801" w:rsidRDefault="00A30D98" w:rsidP="00A30D98">
      <w:pPr>
        <w:tabs>
          <w:tab w:val="left" w:pos="2025"/>
        </w:tabs>
        <w:spacing w:after="0" w:line="480" w:lineRule="auto"/>
        <w:ind w:left="-284"/>
        <w:jc w:val="center"/>
        <w:rPr>
          <w:rFonts w:ascii="Verdana" w:eastAsia="Times New Roman" w:hAnsi="Verdana" w:cs="Times New Roman"/>
          <w:b/>
          <w:i/>
          <w:sz w:val="52"/>
          <w:szCs w:val="52"/>
          <w:lang w:eastAsia="bg-BG"/>
        </w:rPr>
      </w:pPr>
      <w:r w:rsidRPr="000B5801"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 xml:space="preserve">П  Р  О  Г  Р  А  М  Н  А   С  И  С  Т  Е  М А                                                                                                                              Н  А                                                                               </w:t>
      </w: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</w:pPr>
    </w:p>
    <w:p w:rsidR="00A30D98" w:rsidRPr="000B5801" w:rsidRDefault="00A30D98" w:rsidP="00A30D98">
      <w:pPr>
        <w:tabs>
          <w:tab w:val="left" w:pos="1095"/>
        </w:tabs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</w:pPr>
      <w:r w:rsidRPr="000B5801"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 xml:space="preserve"> Д  Е Т С К А   Г Р А Д И Н А  </w:t>
      </w:r>
    </w:p>
    <w:p w:rsidR="00A30D98" w:rsidRPr="000B5801" w:rsidRDefault="00A30D98" w:rsidP="00A30D98">
      <w:pPr>
        <w:tabs>
          <w:tab w:val="left" w:pos="1095"/>
        </w:tabs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</w:pPr>
      <w:r w:rsidRPr="000B5801"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 xml:space="preserve">                                                                                                           „ П  Р  О  Л  Е  Т”     гр.  П  Л  Е  В  Е  Н</w:t>
      </w:r>
    </w:p>
    <w:p w:rsidR="00A30D98" w:rsidRPr="000B5801" w:rsidRDefault="00A30D98" w:rsidP="00A30D98">
      <w:pPr>
        <w:tabs>
          <w:tab w:val="left" w:pos="2580"/>
          <w:tab w:val="left" w:pos="4200"/>
        </w:tabs>
        <w:spacing w:after="0" w:line="240" w:lineRule="auto"/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</w:pPr>
      <w:r w:rsidRPr="000B5801"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ab/>
      </w:r>
      <w:r w:rsidRPr="000B5801"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ab/>
      </w:r>
    </w:p>
    <w:p w:rsidR="00A30D98" w:rsidRPr="000B5801" w:rsidRDefault="00A30D98" w:rsidP="00A30D98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</w:pPr>
    </w:p>
    <w:p w:rsidR="00A30D98" w:rsidRPr="000B5801" w:rsidRDefault="00A30D98" w:rsidP="00A30D98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</w:pPr>
      <w:r w:rsidRPr="000B5801"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 xml:space="preserve">                                                                                                             З  А      П  Е  Р  И  О  Д  А          </w:t>
      </w:r>
      <w:r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 xml:space="preserve">                       2023-2028</w:t>
      </w:r>
      <w:r w:rsidRPr="000B5801">
        <w:rPr>
          <w:rFonts w:ascii="Verdana" w:eastAsia="Times New Roman" w:hAnsi="Verdana" w:cs="Times New Roman"/>
          <w:b/>
          <w:i/>
          <w:sz w:val="44"/>
          <w:szCs w:val="44"/>
          <w:lang w:eastAsia="bg-BG"/>
        </w:rPr>
        <w:t>година</w:t>
      </w: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4"/>
          <w:szCs w:val="44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bg-BG"/>
        </w:rPr>
      </w:pP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bg-BG"/>
        </w:rPr>
      </w:pPr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t>Изготвил:Педагогическия</w:t>
      </w:r>
      <w:proofErr w:type="spellEnd"/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t xml:space="preserve"> екип </w:t>
      </w:r>
    </w:p>
    <w:p w:rsidR="00A30D98" w:rsidRPr="000B5801" w:rsidRDefault="00A30D98" w:rsidP="00A30D98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bg-BG"/>
        </w:rPr>
      </w:pPr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lastRenderedPageBreak/>
        <w:t xml:space="preserve">на </w:t>
      </w:r>
      <w:proofErr w:type="spellStart"/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t>ДГ”Пролет</w:t>
      </w:r>
      <w:proofErr w:type="spellEnd"/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t xml:space="preserve">” </w:t>
      </w:r>
      <w:proofErr w:type="spellStart"/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t>гр.Плевен</w:t>
      </w:r>
      <w:proofErr w:type="spellEnd"/>
      <w:r w:rsidRPr="000B5801">
        <w:rPr>
          <w:rFonts w:ascii="Verdana" w:eastAsia="Times New Roman" w:hAnsi="Verdana" w:cs="Times New Roman"/>
          <w:sz w:val="32"/>
          <w:szCs w:val="32"/>
          <w:lang w:eastAsia="bg-BG"/>
        </w:rPr>
        <w:t xml:space="preserve">                                                                                                         </w:t>
      </w:r>
      <w:r w:rsidRPr="000B5801">
        <w:rPr>
          <w:rFonts w:ascii="Verdana" w:eastAsia="Times New Roman" w:hAnsi="Verdana" w:cs="Times New Roman"/>
          <w:color w:val="000000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0D98" w:rsidRPr="000B5801" w:rsidRDefault="00A30D98" w:rsidP="00A30D98">
      <w:pPr>
        <w:spacing w:before="240" w:after="240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bg-BG"/>
        </w:rPr>
      </w:pP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30D98" w:rsidRPr="000B5801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Програмна система за развитие на детската градина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І.Подходи</w:t>
      </w:r>
      <w:proofErr w:type="spellEnd"/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форми на педагогическо взаимодействие</w:t>
      </w: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  <w:t xml:space="preserve">                                                                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1.Подходи на педагогическо взаимодействие.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Цялостната работа в детската градина ще бъде подчинена на следните основни подходи за реализиране на целите: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-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Хуманизиране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възпитателната дейност;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- Осигуряване свобода в избора на детето;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-Търсене и прилагане на творчество в педагогическия процес;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-Креативност и разчупване на шаблоните;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2.Форми на педагогическо взаимодействие.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-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Основна форма на педагогичес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 взаимодействие е педагогичес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ката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ситуация,която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протича предимно под формата на игра.      Педагогическите ситуации се организират само в учебно време и осигуряват постигането на компетентностите определени в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дър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жавния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образователен стандарт по следните направления: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-Български език и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литература;Математика;Околен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свят;Изобрази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телно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изкуство;Физическа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култура;Музика;Конструиране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техно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логии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                                                                                        </w:t>
      </w:r>
    </w:p>
    <w:p w:rsidR="00A30D98" w:rsidRPr="000B5801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–Допълнителни форми на педагогическо взаимодействие се организират ежедневно по преценка на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учителя,те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свързани с цялостната организация на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деня.Допълнителните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форми се използват за усъвършенстване на отделни компетентности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държав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ните образователни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стандарти,които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допринасят за личностното развитие и разнообразяване живота на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детето.Те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организират извън времето на педагогическите ситуации под формата на утринно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раздвижване;самообслужване;подвижни,сюжетни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други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игри;празници,развлечения,посещение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театри и др.</w:t>
      </w: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</w:t>
      </w:r>
    </w:p>
    <w:p w:rsidR="00A30D98" w:rsidRPr="000B5801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</w:t>
      </w:r>
      <w:proofErr w:type="spellStart"/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ІІ.Разпределение</w:t>
      </w:r>
      <w:proofErr w:type="spellEnd"/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формите на педагогическо взаимодействие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Детската градина предлага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целодневна,полудневна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почасова организация на формите на педагогическо взаимодействие.         В учебно време при целодневната организация се редуват основни и допълнителни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форми,а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неучебно време само допълнителни , като се осигурява време за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игра,почивка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 следобеден 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сън,хранене,дейности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избор в рамките на 12 часа дневно.                                                                                       При полудневната организация децата пребивават в детската градина преди обяд в рамките на 6часа,като вземат участие във всички основни и допълнителни дейности организирани от учителите в групата.                         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При заявено желание от родителите за почасово посещение децата се включват в рамките на 3часа в организираните педагогически ситуации през учебно време.   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Съобразно възрастовите особености се осъществява следния брой педагогически ситуации: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I-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ва група-11 ситуации седмично;                       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proofErr w:type="spellStart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</w:t>
      </w:r>
      <w:proofErr w:type="spellEnd"/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група-13 ситуации седмично;               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-та група-15 ситуации седмично;                                                </w:t>
      </w:r>
    </w:p>
    <w:p w:rsidR="00A30D98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IV</w:t>
      </w: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-та група-17 ситуации седмично;                                       </w:t>
      </w:r>
    </w:p>
    <w:p w:rsidR="00A30D98" w:rsidRPr="000B5801" w:rsidRDefault="00A30D98" w:rsidP="00A30D98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5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Смесена група- 17 ситуации седмично;                                                                                                                                                                              </w:t>
      </w: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IV</w:t>
      </w:r>
      <w:r w:rsidRPr="000B5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.Тематично разпределение по възрастови групи   </w:t>
      </w:r>
    </w:p>
    <w:p w:rsidR="00B614B6" w:rsidRDefault="00B614B6">
      <w:bookmarkStart w:id="0" w:name="_GoBack"/>
      <w:bookmarkEnd w:id="0"/>
    </w:p>
    <w:sectPr w:rsidR="00B6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98"/>
    <w:rsid w:val="00A30D98"/>
    <w:rsid w:val="00B6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67EE-72D0-4838-8943-90FDD8F6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1500184: ДГ "Пролет" - Плевен</dc:creator>
  <cp:keywords/>
  <dc:description/>
  <cp:lastModifiedBy>1500184: ДГ "Пролет" - Плевен</cp:lastModifiedBy>
  <cp:revision>1</cp:revision>
  <dcterms:created xsi:type="dcterms:W3CDTF">2024-09-20T06:56:00Z</dcterms:created>
  <dcterms:modified xsi:type="dcterms:W3CDTF">2024-09-20T06:59:00Z</dcterms:modified>
</cp:coreProperties>
</file>