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8F" w:rsidRPr="00832F06" w:rsidRDefault="00B0178F" w:rsidP="00B0178F">
      <w:pPr>
        <w:tabs>
          <w:tab w:val="center" w:pos="9072"/>
        </w:tabs>
        <w:spacing w:after="0" w:line="240" w:lineRule="auto"/>
        <w:jc w:val="center"/>
        <w:rPr>
          <w:rFonts w:ascii="CyrillicOld" w:eastAsia="Times New Roman" w:hAnsi="CyrillicOld" w:cs="Times New Roman"/>
          <w:sz w:val="24"/>
          <w:szCs w:val="24"/>
          <w:lang w:eastAsia="bg-BG"/>
        </w:rPr>
      </w:pPr>
      <w:r>
        <w:rPr>
          <w:rFonts w:ascii="CyrillicOld" w:eastAsia="Times New Roman" w:hAnsi="CyrillicOld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72392186" wp14:editId="14C7FD6E">
            <wp:simplePos x="0" y="0"/>
            <wp:positionH relativeFrom="column">
              <wp:posOffset>-247650</wp:posOffset>
            </wp:positionH>
            <wp:positionV relativeFrom="paragraph">
              <wp:posOffset>4445</wp:posOffset>
            </wp:positionV>
            <wp:extent cx="781050" cy="1162050"/>
            <wp:effectExtent l="0" t="0" r="0" b="0"/>
            <wp:wrapNone/>
            <wp:docPr id="1" name="Картина 1" descr="Описание: Резултат с изображение за Георги Бенков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Резултат с изображение за Георги Бенковс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7" r="1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F06">
        <w:rPr>
          <w:rFonts w:ascii="CyrillicOld" w:eastAsia="Times New Roman" w:hAnsi="CyrillicOld" w:cs="Times New Roman"/>
          <w:sz w:val="28"/>
          <w:szCs w:val="28"/>
          <w:lang w:eastAsia="bg-BG"/>
        </w:rPr>
        <w:t xml:space="preserve">ОСНОВНО УЧИЛИЩЕ </w:t>
      </w:r>
      <w:r w:rsidRPr="00832F06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832F06">
        <w:rPr>
          <w:rFonts w:ascii="CyrillicOld" w:eastAsia="Times New Roman" w:hAnsi="CyrillicOld" w:cs="Times New Roman"/>
          <w:sz w:val="28"/>
          <w:szCs w:val="28"/>
          <w:lang w:eastAsia="bg-BG"/>
        </w:rPr>
        <w:t>ГЕОРГИ БЕНКОВСКИ</w:t>
      </w:r>
      <w:r w:rsidRPr="00832F06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B0178F" w:rsidRPr="00832F06" w:rsidRDefault="00B0178F" w:rsidP="00B0178F">
      <w:pPr>
        <w:spacing w:after="0" w:line="240" w:lineRule="auto"/>
        <w:jc w:val="center"/>
        <w:rPr>
          <w:rFonts w:ascii="CyrillicOld" w:eastAsia="Times New Roman" w:hAnsi="CyrillicOld" w:cs="Times New Roman"/>
          <w:sz w:val="24"/>
          <w:szCs w:val="24"/>
          <w:lang w:eastAsia="bg-BG"/>
        </w:rPr>
      </w:pPr>
      <w:r w:rsidRPr="00832F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>с. Рибарица 5720, Община Тетевен, Област Ловеч,</w:t>
      </w:r>
    </w:p>
    <w:p w:rsidR="00B0178F" w:rsidRPr="00832F06" w:rsidRDefault="00B0178F" w:rsidP="00B0178F">
      <w:pPr>
        <w:spacing w:after="0" w:line="240" w:lineRule="auto"/>
        <w:jc w:val="center"/>
        <w:rPr>
          <w:rFonts w:ascii="CyrillicOld" w:eastAsia="Times New Roman" w:hAnsi="CyrillicOld" w:cs="Times New Roman"/>
          <w:sz w:val="24"/>
          <w:szCs w:val="24"/>
          <w:lang w:eastAsia="bg-BG"/>
        </w:rPr>
      </w:pPr>
      <w:proofErr w:type="spellStart"/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>ул</w:t>
      </w:r>
      <w:proofErr w:type="spellEnd"/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>.</w:t>
      </w:r>
      <w:r w:rsidRPr="00832F06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832F06">
        <w:rPr>
          <w:rFonts w:ascii="CyrillicOld" w:eastAsia="Times New Roman" w:hAnsi="CyrillicOld" w:cs="CyrillicOld"/>
          <w:sz w:val="24"/>
          <w:szCs w:val="24"/>
          <w:lang w:eastAsia="bg-BG"/>
        </w:rPr>
        <w:t>Захари</w:t>
      </w:r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 xml:space="preserve"> </w:t>
      </w:r>
      <w:r w:rsidRPr="00832F06">
        <w:rPr>
          <w:rFonts w:ascii="CyrillicOld" w:eastAsia="Times New Roman" w:hAnsi="CyrillicOld" w:cs="CyrillicOld"/>
          <w:sz w:val="24"/>
          <w:szCs w:val="24"/>
          <w:lang w:eastAsia="bg-BG"/>
        </w:rPr>
        <w:t>Стоянов</w:t>
      </w:r>
      <w:r w:rsidRPr="00832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832F06">
        <w:rPr>
          <w:rFonts w:ascii="CyrillicOld" w:eastAsia="Times New Roman" w:hAnsi="CyrillicOld" w:cs="CyrillicOld"/>
          <w:sz w:val="24"/>
          <w:szCs w:val="24"/>
          <w:lang w:eastAsia="bg-BG"/>
        </w:rPr>
        <w:t>№</w:t>
      </w:r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>1, тел.: 06902 2325,</w:t>
      </w:r>
    </w:p>
    <w:p w:rsidR="00B0178F" w:rsidRPr="00B0178F" w:rsidRDefault="00B0178F">
      <w:pPr>
        <w:rPr>
          <w:rFonts w:ascii="CyrillicOld" w:eastAsia="Times New Roman" w:hAnsi="CyrillicOld" w:cs="Times New Roman"/>
          <w:sz w:val="24"/>
          <w:szCs w:val="24"/>
          <w:lang w:eastAsia="bg-BG"/>
        </w:rPr>
      </w:pPr>
      <w:r>
        <w:rPr>
          <w:rFonts w:ascii="CyrillicOld" w:eastAsia="Times New Roman" w:hAnsi="CyrillicOld" w:cs="Times New Roman"/>
          <w:sz w:val="24"/>
          <w:szCs w:val="24"/>
          <w:lang w:eastAsia="bg-BG"/>
        </w:rPr>
        <w:t xml:space="preserve">                                                   </w:t>
      </w:r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>E-</w:t>
      </w:r>
      <w:proofErr w:type="spellStart"/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>mail</w:t>
      </w:r>
      <w:proofErr w:type="spellEnd"/>
      <w:r w:rsidRPr="00832F06">
        <w:rPr>
          <w:rFonts w:ascii="CyrillicOld" w:eastAsia="Times New Roman" w:hAnsi="CyrillicOld" w:cs="Times New Roman"/>
          <w:sz w:val="24"/>
          <w:szCs w:val="24"/>
          <w:lang w:eastAsia="bg-BG"/>
        </w:rPr>
        <w:t xml:space="preserve">:   </w:t>
      </w:r>
      <w:hyperlink r:id="rId6" w:history="1">
        <w:r w:rsidRPr="009B2505">
          <w:rPr>
            <w:rStyle w:val="a5"/>
            <w:rFonts w:ascii="CyrillicOld" w:eastAsia="Times New Roman" w:hAnsi="CyrillicOld" w:cs="Times New Roman"/>
            <w:sz w:val="24"/>
            <w:szCs w:val="24"/>
            <w:lang w:eastAsia="bg-BG"/>
          </w:rPr>
          <w:t>ou_ribaritsa@abv.bg</w:t>
        </w:r>
      </w:hyperlink>
    </w:p>
    <w:p w:rsidR="00B0178F" w:rsidRPr="00B0178F" w:rsidRDefault="00B0178F" w:rsidP="00B017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0178F" w:rsidRPr="00B0178F" w:rsidRDefault="00B0178F" w:rsidP="00B017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0178F" w:rsidRPr="00B0178F" w:rsidRDefault="00B0178F" w:rsidP="00B017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МЕРКИ</w:t>
      </w:r>
    </w:p>
    <w:p w:rsidR="00B0178F" w:rsidRPr="00B0178F" w:rsidRDefault="00B0178F" w:rsidP="00B017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017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 ЗА ПОВИША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ВАНЕ КАЧЕСТВОТО НА ОБРАЗОВАНИЕТО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60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0178F" w:rsidRPr="00B0178F" w:rsidRDefault="00B0178F" w:rsidP="00B0178F">
      <w:pPr>
        <w:shd w:val="clear" w:color="auto" w:fill="FFFFFF"/>
        <w:spacing w:after="206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bookmarkStart w:id="0" w:name="bookmark0"/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УВОД</w:t>
      </w:r>
      <w:bookmarkEnd w:id="0"/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тези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мерки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цели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непрекъснато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условията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редът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разработване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ефективна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вътрешна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система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Мерките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съобразени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принципите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изискванията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към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институциите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усъвършенстване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управление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.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Също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така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важно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място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заемат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показателите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условията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редът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измерване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постигнатото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чрез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управление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развитие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институцията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(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),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основано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анализиране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планиране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изпълнение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дейностите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оценяване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внасяне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подобрения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спазване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следните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принципи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Ефективно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разпределяне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използване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управление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ресурсите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Автономия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самоуправление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Ангажираност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сътрудничество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социален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диалог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между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всички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участници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Удовлетвореност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участниците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другите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заинтересовани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лица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Приемственост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политиките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постиженията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прилагане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добри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педагогически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практики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Непрекъснатост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прозрачност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демократичност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Целенасоченост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към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високи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резултати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Лидерство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разпределяне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отговорности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целите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58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bookmarkStart w:id="1" w:name="bookmark1"/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lastRenderedPageBreak/>
        <w:t>ВЪТРЕШНА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СИСТЕМА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ОБУЧЕНИЕТО</w:t>
      </w:r>
      <w:bookmarkEnd w:id="1"/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Вътрешната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система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съвкупност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взаимосвързани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действия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мерки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поддържане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развиване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провежданото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/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резултатите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него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съответствие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държавните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образователни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стандарти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Броят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членовете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съставът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срокът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изпълнение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работата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комисията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комисиите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определят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директора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зависимост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вида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обема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възложените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задачи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740" w:right="18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Комисията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комисиите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определят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преди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началото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всяка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учебна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година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.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Директорът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Организира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контролира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отговаря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цялостната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дейност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функционирането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вътрешната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система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управление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Разработва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политиката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целите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Определя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състава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комисията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комисиите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Провежда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мониторинг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дейностите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институцията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58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Педагогическият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съвет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приема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Мерките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Годишния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доклад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резултатите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проведеното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оценяване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58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bookmarkStart w:id="2" w:name="bookmark2"/>
      <w:bookmarkEnd w:id="2"/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МИНИМАЛНИ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ИЗИСКВАНИЯ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УПРАВЛЕНИЕ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Усъвършенстването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управление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постига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спазване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следните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изисквания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работната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среда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чрез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прилагане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механизми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адаптиране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обучаваните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към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среда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достъпна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архитектурна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среда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модернизиране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материално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-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техническата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база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обновяване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информационната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инфраструктура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развитие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организационната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култура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развитие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персонала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чрез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)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възможностите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допълнителна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продължаваща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квалификация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учителите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/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преподавателите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специалността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им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висшето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тяхната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иновационна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култура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личностна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ефективност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lastRenderedPageBreak/>
        <w:t>б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изграждане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култура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създаване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поддържане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открита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ясна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комуникация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ефективността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административното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обслужване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мотивацията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инициативността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всички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участници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резултатите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чрез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мотивацията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обучаемите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дела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учениците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които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работят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активно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своите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образователни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резултати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намаляване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дела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отпадналите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създаване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механизъм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ранно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предупреждение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различни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рискове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взаимодействието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местната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общност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социалните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партньори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работодателски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организации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университети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други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заинтересовани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страни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чрез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разширяване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възможностите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практическо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проучване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прилагане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добри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практики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сродни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институции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възможностите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достъп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информация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участниците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)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информиране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общността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заинтересованите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страни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добрите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практики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постиженията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институцията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областта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)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проекти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свързани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right="260"/>
        <w:rPr>
          <w:rFonts w:ascii="Calibri" w:eastAsia="Times New Roman" w:hAnsi="Calibri" w:cs="Calibri"/>
          <w:color w:val="333333"/>
          <w:sz w:val="21"/>
          <w:szCs w:val="21"/>
          <w:lang w:eastAsia="bg-BG"/>
        </w:rPr>
      </w:pPr>
      <w:bookmarkStart w:id="3" w:name="bookmark3"/>
      <w:bookmarkEnd w:id="3"/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ПОКАЗАТЕЛИ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ИЗМЕРВАНЕ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ПОСТИГНАТОТО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bookmarkStart w:id="4" w:name="bookmark4"/>
      <w:bookmarkEnd w:id="4"/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</w:t>
      </w:r>
      <w:bookmarkStart w:id="5" w:name="bookmark5"/>
      <w:bookmarkEnd w:id="5"/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ОУ“Г.БЕНКОВСКИ“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46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изпълнение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мерките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заложение</w:t>
      </w:r>
      <w:proofErr w:type="spellEnd"/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следните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показатели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bookmarkStart w:id="6" w:name="bookmark6"/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Постигнати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резултати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ученици</w:t>
      </w:r>
      <w:bookmarkEnd w:id="6"/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общия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успех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учениците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Резултати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НВО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участници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класирани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областен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национален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кръг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олимпиади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Заемане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призови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места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състезания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конкурси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олимпиади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lastRenderedPageBreak/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ученици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участващи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национални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международни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проекти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bookmarkStart w:id="7" w:name="bookmark7"/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Поведение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дисциплина</w:t>
      </w:r>
      <w:bookmarkEnd w:id="7"/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Намален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допуснатите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отсъствия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Намален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наказани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ученици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Намаляване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дела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ранно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отпаднали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обучението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-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наблюдение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учениците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диагностициране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сигнализиране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училищното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ръководство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екипа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личностно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развитие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Прилагане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механизма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ранно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предупреждение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различни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рискове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работа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екипите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личностно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развитие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Обществения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съвет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bookmarkStart w:id="8" w:name="bookmark8"/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Участие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училищни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клубове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извънкласни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мероприятия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дейности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7AB7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7AB7"/>
          <w:sz w:val="28"/>
          <w:szCs w:val="28"/>
          <w:lang w:eastAsia="bg-BG"/>
        </w:rPr>
        <w:t>инициативи</w:t>
      </w:r>
      <w:bookmarkEnd w:id="8"/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участници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клубове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извънкласни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обучителни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дейности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дейности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интереси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реализирани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 xml:space="preserve">извънучилищни </w:t>
      </w:r>
      <w:proofErr w:type="spellStart"/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инициативи</w:t>
      </w:r>
      <w:r>
        <w:rPr>
          <w:rFonts w:eastAsia="Times New Roman" w:cs="Times New Roman"/>
          <w:color w:val="333333"/>
          <w:sz w:val="28"/>
          <w:szCs w:val="28"/>
          <w:lang w:eastAsia="bg-BG"/>
        </w:rPr>
        <w:t>,посветени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bg-BG"/>
        </w:rPr>
        <w:t xml:space="preserve"> на патриотичното възпитание </w:t>
      </w:r>
    </w:p>
    <w:p w:rsidR="00B0178F" w:rsidRPr="00B0178F" w:rsidRDefault="00B0178F" w:rsidP="00B0178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реализирани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кампании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доброволчески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дейности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40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4.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Други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</w:p>
    <w:p w:rsidR="00B0178F" w:rsidRPr="00B0178F" w:rsidRDefault="00B0178F" w:rsidP="00B0178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учители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повишили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квалификацията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Подобрена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материална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база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Брой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реализирани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проекти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Подобряване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взаимодействието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местната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общност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със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социалните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партньори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университети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всички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останали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заинтересовани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страни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Информиране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общността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заинтересованите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страни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добрите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практики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постиженията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учениците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образователната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институция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чрез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публикуване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информация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сайта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ФБ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страницата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училището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медии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shd w:val="clear" w:color="auto" w:fill="FFFFFF"/>
        <w:spacing w:after="0" w:line="240" w:lineRule="auto"/>
        <w:ind w:left="180"/>
        <w:rPr>
          <w:rFonts w:ascii="Helvetica" w:eastAsia="Times New Roman" w:hAnsi="Helvetica" w:cs="Times New Roman"/>
          <w:color w:val="5B9BD5" w:themeColor="accent1"/>
          <w:sz w:val="21"/>
          <w:szCs w:val="21"/>
          <w:lang w:eastAsia="bg-BG"/>
        </w:rPr>
      </w:pPr>
      <w:bookmarkStart w:id="9" w:name="bookmark9"/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МЕТОДИЧЕСКО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ПОДПОМАГАНЕ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МОНИТОРИНГ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ПОВИШАВАНЕ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НА</w:t>
      </w:r>
      <w:bookmarkStart w:id="10" w:name="bookmark10"/>
      <w:bookmarkEnd w:id="9"/>
      <w:bookmarkEnd w:id="10"/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> 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5B9BD5" w:themeColor="accent1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5B9BD5" w:themeColor="accent1"/>
          <w:sz w:val="28"/>
          <w:szCs w:val="28"/>
          <w:lang w:eastAsia="bg-BG"/>
        </w:rPr>
        <w:t>ОБРАЗОВАНИЕТО</w:t>
      </w:r>
    </w:p>
    <w:p w:rsidR="00B0178F" w:rsidRPr="00B0178F" w:rsidRDefault="00B0178F" w:rsidP="00B0178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институциите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осъществяват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методическо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подпомагане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мониторинг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Методическото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подпомагане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разработване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функциониране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вътрешна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система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включва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:</w:t>
      </w:r>
      <w:r w:rsidRPr="00B0178F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       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консултиране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информиране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инструктиране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представяне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добри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педагогически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практики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Мониторингът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вътрешен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външен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резултатите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него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включват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констатации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,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изводи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препоръки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вземане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lastRenderedPageBreak/>
        <w:t>информирани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решения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усъвършенстване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процеса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за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осигуряване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качеството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Вътрешният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мониторинг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осъществява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директора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;</w:t>
      </w:r>
    </w:p>
    <w:p w:rsidR="00B0178F" w:rsidRPr="00B0178F" w:rsidRDefault="00B0178F" w:rsidP="00B0178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Методическото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подпомагане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външният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мониторинг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се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осъществяват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Министерството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науката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и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от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регионалните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управления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по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 xml:space="preserve"> </w:t>
      </w:r>
      <w:r w:rsidRPr="00B0178F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образованието</w:t>
      </w:r>
      <w:r w:rsidRPr="00B0178F">
        <w:rPr>
          <w:rFonts w:ascii="Helvetica" w:eastAsia="Times New Roman" w:hAnsi="Helvetica" w:cs="Times New Roman"/>
          <w:color w:val="333333"/>
          <w:sz w:val="28"/>
          <w:szCs w:val="28"/>
          <w:lang w:eastAsia="bg-BG"/>
        </w:rPr>
        <w:t>.</w:t>
      </w:r>
    </w:p>
    <w:p w:rsidR="00B0178F" w:rsidRPr="00B0178F" w:rsidRDefault="00B0178F" w:rsidP="00B0178F">
      <w:pPr>
        <w:shd w:val="clear" w:color="auto" w:fill="FFFFFF"/>
        <w:spacing w:after="618" w:line="240" w:lineRule="auto"/>
        <w:ind w:right="2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0178F" w:rsidRPr="00B0178F" w:rsidRDefault="00B0178F" w:rsidP="00B0178F">
      <w:pPr>
        <w:shd w:val="clear" w:color="auto" w:fill="FFFFFF"/>
        <w:spacing w:after="618" w:line="240" w:lineRule="auto"/>
        <w:ind w:right="2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ДЕЙНОСТИ ЗА ПОВИШАВАНЕ КАЧЕСТВОТО НА ОБРАЗОВАНИЕ И ВЪЗПИТАНИЕ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042"/>
        <w:gridCol w:w="2543"/>
        <w:gridCol w:w="1847"/>
      </w:tblGrid>
      <w:tr w:rsidR="00B0178F" w:rsidRPr="00B0178F" w:rsidTr="00B0178F">
        <w:trPr>
          <w:trHeight w:val="75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ind w:left="28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I.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Дейности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повишаване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успеваемостта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учениците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Отговорник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Срок</w:t>
            </w:r>
          </w:p>
        </w:tc>
      </w:tr>
      <w:tr w:rsidR="00B0178F" w:rsidRPr="00B0178F" w:rsidTr="00B0178F">
        <w:trPr>
          <w:trHeight w:val="89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1.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Прилагане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интерактивни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методи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обучение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ИКТ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дидактични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материали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учебно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-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възпитателния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процес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цел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развитие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самостоятелността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15.09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>.2022 г.</w:t>
            </w: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-30.06.2023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B0178F" w:rsidRPr="00B0178F" w:rsidTr="00B0178F">
        <w:trPr>
          <w:trHeight w:val="869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мисленето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учениците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Ежедневно</w:t>
            </w:r>
          </w:p>
        </w:tc>
      </w:tr>
      <w:tr w:rsidR="00B0178F" w:rsidRPr="00B0178F" w:rsidTr="00B0178F">
        <w:trPr>
          <w:trHeight w:val="1445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F9594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2</w:t>
            </w:r>
            <w:r w:rsid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.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Професионална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комуникация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между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педагогическите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специалисти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участващи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образователния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процес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училището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3.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Наставничество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младите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4.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Ефективно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диференциране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задачите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178F" w:rsidRPr="00F9594F" w:rsidRDefault="00B0178F" w:rsidP="00B0178F">
            <w:pPr>
              <w:spacing w:after="72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  <w:r w:rsidR="00F9594F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              Учители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178F" w:rsidRPr="00B0178F" w:rsidRDefault="00F9594F" w:rsidP="00B0178F">
            <w:pPr>
              <w:spacing w:after="72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15.09.-30.06.2023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B0178F" w:rsidRPr="00B0178F" w:rsidTr="00B0178F">
        <w:trPr>
          <w:trHeight w:val="3684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планирането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образователния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процес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зависимост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от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индивидуалните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развитие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всяко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дете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F9594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5.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Осигуряване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-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голяма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практическа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приложимост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възпитателно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-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образователния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процес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ориентирането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му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към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конкретни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резултати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F9594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6.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Целенасочена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квалификация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учителите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F9594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7.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Провеждане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учебна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дейност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класни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стаи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открито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B0178F">
            <w:pPr>
              <w:spacing w:after="0" w:line="240" w:lineRule="auto"/>
              <w:ind w:left="72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F9594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8.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Осигуряване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обща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подкрепа</w:t>
            </w:r>
          </w:p>
          <w:p w:rsidR="00B0178F" w:rsidRPr="00B0178F" w:rsidRDefault="00B0178F" w:rsidP="00B0178F">
            <w:pPr>
              <w:spacing w:after="0" w:line="240" w:lineRule="auto"/>
              <w:ind w:left="72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F9594F" w:rsidP="00F9594F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 xml:space="preserve">     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наставници</w:t>
            </w:r>
          </w:p>
          <w:p w:rsidR="00B0178F" w:rsidRPr="00B0178F" w:rsidRDefault="00B0178F" w:rsidP="00B0178F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</w:p>
          <w:p w:rsidR="00B0178F" w:rsidRPr="00B0178F" w:rsidRDefault="00B0178F" w:rsidP="00B0178F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Директор</w:t>
            </w:r>
          </w:p>
          <w:p w:rsidR="00B0178F" w:rsidRPr="00B0178F" w:rsidRDefault="00B0178F" w:rsidP="00B0178F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</w:p>
          <w:p w:rsidR="00B0178F" w:rsidRPr="00B0178F" w:rsidRDefault="00B0178F" w:rsidP="00B0178F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</w:t>
            </w:r>
            <w:r w:rsidR="00F959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15.09.-30.06.2022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15.09-30.06.2022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F9594F" w:rsidRDefault="00B0178F" w:rsidP="00F959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15.09-30.06.2022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F9594F" w:rsidP="00F959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п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остоянен</w:t>
            </w:r>
          </w:p>
        </w:tc>
      </w:tr>
      <w:tr w:rsidR="00B0178F" w:rsidRPr="00B0178F" w:rsidTr="00B0178F">
        <w:trPr>
          <w:trHeight w:val="1042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ind w:right="26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II.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F9594F" w:rsidRDefault="00B0178F" w:rsidP="00F9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Дейности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популяризиране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организацията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учебно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-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възпитателната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дейност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F9594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училище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Отговорник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Срок</w:t>
            </w:r>
          </w:p>
        </w:tc>
      </w:tr>
      <w:tr w:rsidR="00B0178F" w:rsidRPr="00B0178F" w:rsidTr="00B0178F">
        <w:trPr>
          <w:trHeight w:val="547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1.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Организиране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дейности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които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бъдат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представяни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пред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родители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="00F9594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 xml:space="preserve"> обществеността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lang w:eastAsia="bg-BG"/>
              </w:rPr>
              <w:t>ПДУ</w:t>
            </w:r>
          </w:p>
        </w:tc>
      </w:tr>
      <w:tr w:rsidR="00B0178F" w:rsidRPr="00B0178F" w:rsidTr="00B0178F">
        <w:trPr>
          <w:trHeight w:val="365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F9594F" w:rsidRDefault="00B0178F" w:rsidP="00B0178F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B0178F">
        <w:trPr>
          <w:trHeight w:val="456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Default="00F9594F" w:rsidP="00F9594F">
            <w:pPr>
              <w:spacing w:after="0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2.</w:t>
            </w:r>
            <w:r w:rsidR="00B0178F" w:rsidRPr="00F9594F">
              <w:rPr>
                <w:rFonts w:ascii="Calibri" w:hAnsi="Calibri" w:cs="Calibri"/>
                <w:color w:val="333333"/>
                <w:sz w:val="20"/>
                <w:szCs w:val="20"/>
              </w:rPr>
              <w:t>Екипност</w:t>
            </w:r>
            <w:r w:rsidR="00B0178F" w:rsidRPr="00F9594F">
              <w:rPr>
                <w:rFonts w:ascii="Helvetica" w:hAnsi="Helvetica" w:cs="Times New Roman"/>
                <w:color w:val="333333"/>
                <w:sz w:val="20"/>
                <w:szCs w:val="20"/>
              </w:rPr>
              <w:t xml:space="preserve"> </w:t>
            </w:r>
            <w:r w:rsidR="00B0178F" w:rsidRPr="00F9594F">
              <w:rPr>
                <w:rFonts w:ascii="Calibri" w:hAnsi="Calibri" w:cs="Calibri"/>
                <w:color w:val="333333"/>
                <w:sz w:val="20"/>
                <w:szCs w:val="20"/>
              </w:rPr>
              <w:t>и</w:t>
            </w:r>
            <w:r w:rsidR="00B0178F" w:rsidRPr="00F9594F">
              <w:rPr>
                <w:rFonts w:ascii="Helvetica" w:hAnsi="Helvetica" w:cs="Times New Roman"/>
                <w:color w:val="333333"/>
                <w:sz w:val="20"/>
                <w:szCs w:val="20"/>
              </w:rPr>
              <w:t xml:space="preserve"> </w:t>
            </w:r>
            <w:r w:rsidR="00B0178F" w:rsidRPr="00F9594F">
              <w:rPr>
                <w:rFonts w:ascii="Calibri" w:hAnsi="Calibri" w:cs="Calibri"/>
                <w:color w:val="333333"/>
                <w:sz w:val="20"/>
                <w:szCs w:val="20"/>
              </w:rPr>
              <w:t>споделяне</w:t>
            </w:r>
            <w:r w:rsidR="00B0178F" w:rsidRPr="00F9594F">
              <w:rPr>
                <w:rFonts w:ascii="Helvetica" w:hAnsi="Helvetica" w:cs="Times New Roman"/>
                <w:color w:val="333333"/>
                <w:sz w:val="20"/>
                <w:szCs w:val="20"/>
              </w:rPr>
              <w:t xml:space="preserve"> </w:t>
            </w:r>
            <w:r w:rsidR="00B0178F" w:rsidRPr="00F9594F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="00B0178F" w:rsidRPr="00F9594F">
              <w:rPr>
                <w:rFonts w:ascii="Calibri" w:hAnsi="Calibri" w:cs="Calibri"/>
                <w:color w:val="333333"/>
                <w:sz w:val="20"/>
                <w:szCs w:val="20"/>
              </w:rPr>
              <w:t>на</w:t>
            </w:r>
            <w:r w:rsidR="00B0178F" w:rsidRPr="00F9594F">
              <w:rPr>
                <w:rFonts w:ascii="Helvetica" w:hAnsi="Helvetica" w:cs="Times New Roman"/>
                <w:color w:val="333333"/>
                <w:sz w:val="20"/>
                <w:szCs w:val="20"/>
              </w:rPr>
              <w:t xml:space="preserve"> </w:t>
            </w:r>
            <w:r w:rsidR="00B0178F" w:rsidRPr="00F9594F">
              <w:rPr>
                <w:rFonts w:ascii="Calibri" w:hAnsi="Calibri" w:cs="Calibri"/>
                <w:color w:val="333333"/>
                <w:sz w:val="20"/>
                <w:szCs w:val="20"/>
              </w:rPr>
              <w:t>добри</w:t>
            </w:r>
            <w:r w:rsidR="00B0178F" w:rsidRPr="00F9594F">
              <w:rPr>
                <w:rFonts w:ascii="Helvetica" w:hAnsi="Helvetica" w:cs="Times New Roman"/>
                <w:color w:val="333333"/>
                <w:sz w:val="20"/>
                <w:szCs w:val="20"/>
              </w:rPr>
              <w:t xml:space="preserve"> </w:t>
            </w:r>
            <w:r w:rsidR="00B0178F" w:rsidRPr="00F9594F">
              <w:rPr>
                <w:rFonts w:ascii="Calibri" w:hAnsi="Calibri" w:cs="Calibri"/>
                <w:color w:val="333333"/>
                <w:sz w:val="20"/>
                <w:szCs w:val="20"/>
              </w:rPr>
              <w:t>практики</w:t>
            </w:r>
          </w:p>
          <w:p w:rsidR="00F9594F" w:rsidRPr="00F9594F" w:rsidRDefault="00F9594F" w:rsidP="00F9594F">
            <w:pPr>
              <w:spacing w:after="0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  <w:p w:rsidR="00F9594F" w:rsidRPr="00F9594F" w:rsidRDefault="00F9594F" w:rsidP="00F9594F">
            <w:pPr>
              <w:spacing w:after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color w:val="333333"/>
                <w:sz w:val="21"/>
                <w:szCs w:val="21"/>
              </w:rPr>
              <w:t>3.</w:t>
            </w:r>
            <w:r w:rsidRPr="00F9594F">
              <w:rPr>
                <w:color w:val="333333"/>
                <w:sz w:val="21"/>
                <w:szCs w:val="21"/>
              </w:rPr>
              <w:t>Съвместни инициативи с родителската общност – организиране на туристическо пътуване с образователна и възпитателна цел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F9594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lang w:eastAsia="bg-BG"/>
              </w:rPr>
              <w:t>постоянен</w:t>
            </w:r>
          </w:p>
        </w:tc>
      </w:tr>
      <w:tr w:rsidR="00B0178F" w:rsidRPr="00B0178F" w:rsidTr="00B0178F">
        <w:trPr>
          <w:trHeight w:val="3077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178F" w:rsidRPr="00B0178F" w:rsidRDefault="00F9594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4.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Разширяване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партньорството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взаимодействието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между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ОУ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родителска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общност</w:t>
            </w:r>
            <w:r w:rsidR="00B0178F" w:rsidRPr="00B017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социални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партньори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институции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организации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F9594F" w:rsidP="00F9594F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 xml:space="preserve">        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  <w:r w:rsidR="00B0178F"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="00B0178F"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родители</w:t>
            </w:r>
          </w:p>
          <w:p w:rsidR="00B0178F" w:rsidRPr="00B0178F" w:rsidRDefault="00B0178F" w:rsidP="00B0178F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F9594F" w:rsidRDefault="00F9594F" w:rsidP="00B0178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</w:pPr>
          </w:p>
          <w:p w:rsidR="00F9594F" w:rsidRDefault="00F9594F" w:rsidP="00B0178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</w:pPr>
          </w:p>
          <w:p w:rsidR="00B0178F" w:rsidRPr="00B0178F" w:rsidRDefault="00B0178F" w:rsidP="00B0178F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директор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72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72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учебна</w:t>
            </w:r>
            <w:r w:rsidR="00F9594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2022-2023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B0178F">
            <w:pPr>
              <w:spacing w:after="72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постоянен</w:t>
            </w:r>
          </w:p>
          <w:p w:rsidR="00B0178F" w:rsidRPr="00B0178F" w:rsidRDefault="00B0178F" w:rsidP="00B0178F">
            <w:pPr>
              <w:spacing w:after="72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B0178F">
        <w:trPr>
          <w:trHeight w:val="470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ind w:left="28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III.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Дейности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критерии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отчитане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Отговорник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Срок</w:t>
            </w:r>
          </w:p>
        </w:tc>
      </w:tr>
    </w:tbl>
    <w:p w:rsidR="00B0178F" w:rsidRPr="00B0178F" w:rsidRDefault="00B0178F" w:rsidP="00B017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333333"/>
          <w:sz w:val="21"/>
          <w:szCs w:val="21"/>
          <w:lang w:eastAsia="bg-BG"/>
        </w:rPr>
      </w:pPr>
    </w:p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B0178F" w:rsidRPr="00B0178F" w:rsidTr="00B0178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0178F" w:rsidRPr="00B0178F" w:rsidRDefault="00B0178F" w:rsidP="00B017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0178F" w:rsidRPr="00B0178F" w:rsidRDefault="00B0178F" w:rsidP="00B017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0178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121"/>
        <w:gridCol w:w="2570"/>
        <w:gridCol w:w="1748"/>
      </w:tblGrid>
      <w:tr w:rsidR="00B0178F" w:rsidRPr="00B0178F" w:rsidTr="00F9594F">
        <w:trPr>
          <w:trHeight w:val="466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ind w:left="24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учебно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-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възпитателните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резултати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F9594F">
        <w:trPr>
          <w:trHeight w:val="322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1.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Използване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единни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стандарти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ind w:left="22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методическо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обединение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постоянен</w:t>
            </w:r>
          </w:p>
        </w:tc>
      </w:tr>
      <w:tr w:rsidR="00B0178F" w:rsidRPr="00B0178F" w:rsidTr="00F9594F">
        <w:trPr>
          <w:trHeight w:val="95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система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за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оценка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развитието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учениците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ind w:left="22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15.09.2021 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.-</w:t>
            </w:r>
          </w:p>
        </w:tc>
      </w:tr>
      <w:tr w:rsidR="00B0178F" w:rsidRPr="00B0178F" w:rsidTr="00F9594F">
        <w:trPr>
          <w:trHeight w:val="518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2.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Анализ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възпитателно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-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образователния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178F" w:rsidRPr="00B0178F" w:rsidRDefault="00B0178F" w:rsidP="00B0178F">
            <w:pPr>
              <w:spacing w:after="0" w:line="240" w:lineRule="auto"/>
              <w:ind w:left="42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ind w:left="42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ПС</w:t>
            </w:r>
          </w:p>
        </w:tc>
      </w:tr>
      <w:tr w:rsidR="00B0178F" w:rsidRPr="00B0178F" w:rsidTr="00F9594F">
        <w:trPr>
          <w:trHeight w:val="302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процес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-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входно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ниво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;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годишни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резултати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,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F9594F" w:rsidRDefault="00B0178F" w:rsidP="00B0178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15.09.2021 -</w:t>
            </w:r>
          </w:p>
        </w:tc>
      </w:tr>
      <w:tr w:rsidR="00B0178F" w:rsidRPr="00B0178F" w:rsidTr="00F9594F">
        <w:trPr>
          <w:trHeight w:val="36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сравнени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предходна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година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F9594F">
        <w:trPr>
          <w:trHeight w:val="72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3.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Увеличаване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извънкласни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дейности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занимания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интереси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        учители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</w:tr>
      <w:tr w:rsidR="00B0178F" w:rsidRPr="00B0178F" w:rsidTr="00F9594F">
        <w:trPr>
          <w:trHeight w:val="110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594F" w:rsidRDefault="00B0178F" w:rsidP="00F959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5.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Естетизиране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учебната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среда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  <w:p w:rsidR="00B0178F" w:rsidRPr="00B0178F" w:rsidRDefault="00B0178F" w:rsidP="00F959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6.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Поощряване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учениците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морални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материални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награди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 учители, персонал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         учители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 конкретни постижения</w:t>
            </w:r>
          </w:p>
        </w:tc>
      </w:tr>
      <w:tr w:rsidR="00B0178F" w:rsidRPr="00B0178F" w:rsidTr="00F9594F">
        <w:trPr>
          <w:trHeight w:val="322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ind w:left="24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IV.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Дейности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за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мониторинг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контрол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на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Отговорник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Срок</w:t>
            </w:r>
          </w:p>
        </w:tc>
      </w:tr>
      <w:tr w:rsidR="00B0178F" w:rsidRPr="00B0178F" w:rsidTr="00F9594F">
        <w:trPr>
          <w:trHeight w:val="427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F9594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педагогическия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  <w:t>процес</w:t>
            </w: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F9594F">
        <w:trPr>
          <w:trHeight w:val="326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1.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Проверка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ел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дневник</w:t>
            </w:r>
            <w:proofErr w:type="spellEnd"/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задължителна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директор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ежеседмично</w:t>
            </w:r>
          </w:p>
        </w:tc>
      </w:tr>
      <w:tr w:rsidR="00B0178F" w:rsidRPr="00B0178F" w:rsidTr="00F9594F">
        <w:trPr>
          <w:trHeight w:val="437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документация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месечно</w:t>
            </w:r>
          </w:p>
        </w:tc>
      </w:tr>
      <w:tr w:rsidR="00B0178F" w:rsidRPr="00B0178F" w:rsidTr="00F9594F">
        <w:trPr>
          <w:trHeight w:val="39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2.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Отчетна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финансова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документация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Директор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счетоводител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ежемесечно</w:t>
            </w:r>
          </w:p>
        </w:tc>
      </w:tr>
      <w:tr w:rsidR="00B0178F" w:rsidRPr="00B0178F" w:rsidTr="00F9594F">
        <w:trPr>
          <w:trHeight w:val="662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3.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Сведения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за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спазване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организацията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учебния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ден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присъстващи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ученици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178F" w:rsidRPr="00F9594F" w:rsidRDefault="00F9594F" w:rsidP="00F9594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F9594F">
        <w:trPr>
          <w:trHeight w:val="741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4.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Контрол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отношение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качеството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F9594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Директор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</w:tr>
      <w:tr w:rsidR="00B0178F" w:rsidRPr="00B0178F" w:rsidTr="00F9594F">
        <w:trPr>
          <w:trHeight w:val="288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педагогическата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дейност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организацията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F9594F">
        <w:trPr>
          <w:trHeight w:val="302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работата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в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учебните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часове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и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постиженията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0178F" w:rsidRPr="00B0178F" w:rsidTr="00F9594F">
        <w:trPr>
          <w:trHeight w:val="437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B0178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bg-BG"/>
              </w:rPr>
              <w:t>учениците</w:t>
            </w:r>
            <w:r w:rsidRPr="00B0178F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178F" w:rsidRPr="00B0178F" w:rsidRDefault="00B0178F" w:rsidP="00B017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B017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F9594F" w:rsidRDefault="00F9594F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</w:pPr>
    </w:p>
    <w:p w:rsidR="00B0178F" w:rsidRPr="00F9594F" w:rsidRDefault="00F9594F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</w:pPr>
      <w:r w:rsidRPr="00B01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>Мерките са приети на заседание на Пед</w:t>
      </w:r>
      <w:r w:rsidRPr="00F959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агогическия съвет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- </w:t>
      </w:r>
      <w:bookmarkStart w:id="11" w:name="_GoBack"/>
      <w:bookmarkEnd w:id="11"/>
      <w:r w:rsidRPr="00F959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>Протокол №7/05</w:t>
      </w:r>
      <w:r w:rsidRPr="00B01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>.09.20</w:t>
      </w:r>
      <w:r w:rsidRPr="00B01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bg-BG"/>
        </w:rPr>
        <w:t>2</w:t>
      </w:r>
      <w:r w:rsidRPr="00F959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>2</w:t>
      </w:r>
      <w:r w:rsidRPr="00F959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 </w:t>
      </w:r>
      <w:r w:rsidRPr="00F959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>год</w:t>
      </w:r>
      <w:r w:rsidRPr="00F959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>ина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 и са утвърдени със заповед на Директора № 292 от 14.09.2022 г.</w:t>
      </w:r>
    </w:p>
    <w:sectPr w:rsidR="00B0178F" w:rsidRPr="00F9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50F"/>
    <w:multiLevelType w:val="multilevel"/>
    <w:tmpl w:val="A036B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59AB"/>
    <w:multiLevelType w:val="multilevel"/>
    <w:tmpl w:val="7D4C2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55D67"/>
    <w:multiLevelType w:val="multilevel"/>
    <w:tmpl w:val="F034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1178A"/>
    <w:multiLevelType w:val="multilevel"/>
    <w:tmpl w:val="5CD6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45450"/>
    <w:multiLevelType w:val="multilevel"/>
    <w:tmpl w:val="6EB0D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430C0"/>
    <w:multiLevelType w:val="multilevel"/>
    <w:tmpl w:val="D5BE9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B30F8"/>
    <w:multiLevelType w:val="multilevel"/>
    <w:tmpl w:val="89864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96B05"/>
    <w:multiLevelType w:val="multilevel"/>
    <w:tmpl w:val="F872D3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B0686"/>
    <w:multiLevelType w:val="multilevel"/>
    <w:tmpl w:val="05B0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E3B90"/>
    <w:multiLevelType w:val="multilevel"/>
    <w:tmpl w:val="798C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10D3B"/>
    <w:multiLevelType w:val="multilevel"/>
    <w:tmpl w:val="7424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96270"/>
    <w:multiLevelType w:val="multilevel"/>
    <w:tmpl w:val="716A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B4680"/>
    <w:multiLevelType w:val="multilevel"/>
    <w:tmpl w:val="C3E84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D6788"/>
    <w:multiLevelType w:val="multilevel"/>
    <w:tmpl w:val="3BF4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B5F16"/>
    <w:multiLevelType w:val="multilevel"/>
    <w:tmpl w:val="0D90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12C46"/>
    <w:multiLevelType w:val="multilevel"/>
    <w:tmpl w:val="4EDA8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02561"/>
    <w:multiLevelType w:val="multilevel"/>
    <w:tmpl w:val="62BC1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263B5"/>
    <w:multiLevelType w:val="multilevel"/>
    <w:tmpl w:val="BD9ED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52DE3"/>
    <w:multiLevelType w:val="multilevel"/>
    <w:tmpl w:val="43FEB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7"/>
  </w:num>
  <w:num w:numId="16">
    <w:abstractNumId w:val="4"/>
  </w:num>
  <w:num w:numId="17">
    <w:abstractNumId w:val="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F"/>
    <w:rsid w:val="00485483"/>
    <w:rsid w:val="007C77B1"/>
    <w:rsid w:val="00B0178F"/>
    <w:rsid w:val="00F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D91F-A88E-42BB-AD28-9F55800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B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80">
    <w:name w:val="80"/>
    <w:basedOn w:val="a"/>
    <w:rsid w:val="00B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1">
    <w:name w:val="21"/>
    <w:basedOn w:val="a"/>
    <w:rsid w:val="00B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2">
    <w:name w:val="22"/>
    <w:basedOn w:val="a"/>
    <w:rsid w:val="00B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90">
    <w:name w:val="90"/>
    <w:basedOn w:val="a"/>
    <w:rsid w:val="00B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0">
    <w:name w:val="100"/>
    <w:basedOn w:val="a"/>
    <w:rsid w:val="00B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B0178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ribarits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1</cp:revision>
  <cp:lastPrinted>2022-09-26T07:10:00Z</cp:lastPrinted>
  <dcterms:created xsi:type="dcterms:W3CDTF">2022-09-26T06:51:00Z</dcterms:created>
  <dcterms:modified xsi:type="dcterms:W3CDTF">2022-09-26T08:01:00Z</dcterms:modified>
</cp:coreProperties>
</file>