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70" w:rsidRPr="007A7801" w:rsidRDefault="00223A70" w:rsidP="000A2D44">
      <w:pPr>
        <w:spacing w:line="360" w:lineRule="auto"/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2.2pt;margin-top:-7.65pt;width:342pt;height:45pt;z-index:251658240;visibility:visible" stroked="f" strokecolor="#339">
            <v:textbox>
              <w:txbxContent>
                <w:p w:rsidR="00223A70" w:rsidRDefault="00223A70" w:rsidP="000A2D44">
                  <w:pPr>
                    <w:rPr>
                      <w:color w:val="333399"/>
                      <w:u w:val="single"/>
                    </w:rPr>
                  </w:pPr>
                  <w:r>
                    <w:rPr>
                      <w:b/>
                      <w:bCs/>
                      <w:color w:val="333399"/>
                      <w:u w:val="single"/>
                    </w:rPr>
                    <w:t>ОСНОВНО УЧИЛИЩЕ “ АНТИМ І”  - БАЛЧИК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3" o:spid="_x0000_s1027" type="#_x0000_t75" style="position:absolute;margin-left:8.2pt;margin-top:-31.65pt;width:107.55pt;height:112.7pt;z-index:251659264;visibility:visible">
            <v:imagedata r:id="rId5" o:title=""/>
            <w10:wrap type="topAndBottom"/>
          </v:shape>
        </w:pict>
      </w:r>
    </w:p>
    <w:p w:rsidR="00223A70" w:rsidRDefault="00223A70" w:rsidP="000A2D44">
      <w:pPr>
        <w:pStyle w:val="Heading3"/>
      </w:pP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УТВЪРЖДАВАМ:</w:t>
      </w:r>
    </w:p>
    <w:p w:rsidR="00223A70" w:rsidRDefault="00223A70" w:rsidP="000A2D44">
      <w:pPr>
        <w:pStyle w:val="Title"/>
        <w:rPr>
          <w:b w:val="0"/>
          <w:bCs w:val="0"/>
          <w:sz w:val="32"/>
          <w:szCs w:val="32"/>
        </w:rPr>
      </w:pPr>
      <w:r>
        <w:rPr>
          <w:b w:val="0"/>
          <w:bCs w:val="0"/>
          <w:sz w:val="52"/>
          <w:szCs w:val="52"/>
        </w:rPr>
        <w:tab/>
      </w:r>
      <w:r>
        <w:rPr>
          <w:b w:val="0"/>
          <w:bCs w:val="0"/>
          <w:sz w:val="52"/>
          <w:szCs w:val="52"/>
        </w:rPr>
        <w:tab/>
      </w:r>
      <w:r>
        <w:rPr>
          <w:b w:val="0"/>
          <w:bCs w:val="0"/>
          <w:sz w:val="52"/>
          <w:szCs w:val="52"/>
        </w:rPr>
        <w:tab/>
      </w:r>
      <w:r>
        <w:rPr>
          <w:b w:val="0"/>
          <w:bCs w:val="0"/>
          <w:sz w:val="52"/>
          <w:szCs w:val="52"/>
        </w:rPr>
        <w:tab/>
        <w:t xml:space="preserve">   </w:t>
      </w:r>
      <w:r>
        <w:rPr>
          <w:b w:val="0"/>
          <w:bCs w:val="0"/>
        </w:rPr>
        <w:t>ДИРЕКТОР</w:t>
      </w:r>
      <w:r>
        <w:rPr>
          <w:b w:val="0"/>
          <w:bCs w:val="0"/>
          <w:sz w:val="32"/>
          <w:szCs w:val="32"/>
        </w:rPr>
        <w:t>:</w:t>
      </w:r>
    </w:p>
    <w:p w:rsidR="00223A70" w:rsidRDefault="00223A70" w:rsidP="000A2D44">
      <w:pPr>
        <w:pStyle w:val="Titl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/ Р.Петрова/ </w:t>
      </w:r>
      <w:r>
        <w:rPr>
          <w:b w:val="0"/>
          <w:bCs w:val="0"/>
          <w:sz w:val="32"/>
          <w:szCs w:val="32"/>
        </w:rPr>
        <w:tab/>
      </w: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Pr="0049224D" w:rsidRDefault="00223A70" w:rsidP="00C8257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23A70" w:rsidRPr="0049224D" w:rsidRDefault="00223A70" w:rsidP="000A2D44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49224D">
        <w:rPr>
          <w:rFonts w:ascii="Times New Roman" w:hAnsi="Times New Roman" w:cs="Times New Roman"/>
          <w:b/>
          <w:bCs/>
          <w:sz w:val="36"/>
          <w:szCs w:val="36"/>
        </w:rPr>
        <w:t>ПРОГРАМА</w:t>
      </w:r>
    </w:p>
    <w:p w:rsidR="00223A70" w:rsidRPr="0049224D" w:rsidRDefault="00223A70" w:rsidP="00C825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224D">
        <w:rPr>
          <w:rFonts w:ascii="Times New Roman" w:hAnsi="Times New Roman" w:cs="Times New Roman"/>
          <w:b/>
          <w:bCs/>
          <w:sz w:val="36"/>
          <w:szCs w:val="36"/>
        </w:rPr>
        <w:t xml:space="preserve">ЗА ПРЕДОСТАВЯНЕ НА РАВНИ ВЪЗМОЖНОСТИ И </w:t>
      </w:r>
    </w:p>
    <w:p w:rsidR="00223A70" w:rsidRPr="0049224D" w:rsidRDefault="00223A70" w:rsidP="00C825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224D">
        <w:rPr>
          <w:rFonts w:ascii="Times New Roman" w:hAnsi="Times New Roman" w:cs="Times New Roman"/>
          <w:b/>
          <w:bCs/>
          <w:sz w:val="36"/>
          <w:szCs w:val="36"/>
        </w:rPr>
        <w:t>ЗА ПРИОБЩАВАНЕ НА ДЕЦА И УЧЕНИЦИ ОТ УЯЗВИМИ ГРУПИ</w:t>
      </w: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Pr="00CA5A66" w:rsidRDefault="00223A70" w:rsidP="00CA5A66">
      <w:pPr>
        <w:ind w:left="708"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УЧЕБНА 202</w:t>
      </w:r>
      <w:r>
        <w:rPr>
          <w:rFonts w:ascii="Times New Roman" w:hAnsi="Times New Roman" w:cs="Times New Roman"/>
          <w:sz w:val="52"/>
          <w:szCs w:val="52"/>
          <w:lang w:val="en-US"/>
        </w:rPr>
        <w:t>1</w:t>
      </w:r>
      <w:r>
        <w:rPr>
          <w:rFonts w:ascii="Times New Roman" w:hAnsi="Times New Roman" w:cs="Times New Roman"/>
          <w:sz w:val="52"/>
          <w:szCs w:val="52"/>
        </w:rPr>
        <w:t>/202</w:t>
      </w:r>
      <w:r>
        <w:rPr>
          <w:rFonts w:ascii="Times New Roman" w:hAnsi="Times New Roman" w:cs="Times New Roman"/>
          <w:sz w:val="52"/>
          <w:szCs w:val="52"/>
          <w:lang w:val="en-US"/>
        </w:rPr>
        <w:t>2</w:t>
      </w:r>
      <w:r w:rsidRPr="00CA5A66">
        <w:rPr>
          <w:rFonts w:ascii="Times New Roman" w:hAnsi="Times New Roman" w:cs="Times New Roman"/>
          <w:sz w:val="52"/>
          <w:szCs w:val="52"/>
        </w:rPr>
        <w:t xml:space="preserve"> ГОДИНА</w:t>
      </w:r>
    </w:p>
    <w:p w:rsidR="00223A70" w:rsidRDefault="00223A70" w:rsidP="00C8257F">
      <w:pPr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0A2D44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Програма е приета с решение на Педагогически съвет, проведен на 1</w:t>
      </w:r>
      <w:r w:rsidRPr="00013FF3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Pr="00013FF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г./протокол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/ и утвърдена със заповед № 13/15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13F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23A70" w:rsidRPr="00714129" w:rsidRDefault="00223A70" w:rsidP="00C8257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129"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223A70" w:rsidRDefault="00223A70" w:rsidP="00C8257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Настоящата програма е изготвена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в съответствие с действащите стратегически и оперативни национални документи на централните ведомства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223A70" w:rsidRDefault="00223A70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Европейската конвенция за защита на правата на човека и основните свободи и първия допълнителен протокол към нея;</w:t>
      </w:r>
    </w:p>
    <w:p w:rsidR="00223A70" w:rsidRDefault="00223A70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Европейска социална харта (ревизирана)</w:t>
      </w:r>
    </w:p>
    <w:p w:rsidR="00223A70" w:rsidRDefault="00223A70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за образователна интеграция на деца и ученици от етническите малцинства 2015-2020</w:t>
      </w:r>
    </w:p>
    <w:p w:rsidR="00223A70" w:rsidRDefault="00223A70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предучилищното и училищното образование</w:t>
      </w:r>
    </w:p>
    <w:p w:rsidR="00223A70" w:rsidRDefault="00223A70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Закон за защита от дискриминация</w:t>
      </w:r>
    </w:p>
    <w:p w:rsidR="00223A70" w:rsidRDefault="00223A70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Държавен образователен стандарт за приобщаващо образование</w:t>
      </w:r>
    </w:p>
    <w:p w:rsidR="00223A70" w:rsidRPr="00F458FF" w:rsidRDefault="00223A70" w:rsidP="00C8257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Рамкова програма за интегриране на ромите в българското общество (2010 – 2020 г.)</w:t>
      </w:r>
    </w:p>
    <w:p w:rsidR="00223A70" w:rsidRPr="00F458FF" w:rsidRDefault="00223A70" w:rsidP="00C8257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Конвенция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борба срещу дискриминацията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областта на образованието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23A70" w:rsidRDefault="00223A70" w:rsidP="00C8257F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49224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Програмата за предоставяне на равни възможности и за приобщаване на децата и учениците от уязвими групи е насочена към деца и ученици в задължителна училищна възраст, които имат нужда от подкрепа, социализация и приобщаване.</w:t>
      </w:r>
    </w:p>
    <w:p w:rsidR="00223A70" w:rsidRDefault="00223A70" w:rsidP="0049224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Програмата изгражда своите дейности около разбирането, че добре функциониращото училище е най-сигурната гаранция за привличането, задържането и мотивацията на повишаване на успеха на учениците. То също така е най-добрата среда за успешната образователна интеграция на ромските деца, децата и учениците със специфични образователни потребности, с физически и ментални увреждания. Добре организираното училище умее да приобщава родителите, има ресурси да прилага по-широк спектър от образователни възможности и прилага модерни педагогически методи на работа.</w:t>
      </w:r>
    </w:p>
    <w:p w:rsidR="00223A70" w:rsidRPr="00F458FF" w:rsidRDefault="00223A70" w:rsidP="0049224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Програмата включва ред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а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начините за оказване на обща и допълнителна подкрепа на всички деца и ученици, които имат необходимост от такива в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училище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съобразно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индивидуалните </w:t>
      </w:r>
      <w:r w:rsidRPr="00622AA5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нтереси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потребности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223A70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Уязвими групи в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сираци и полусираци, деца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бежнаци, деца от различни етнически групи и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п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р. с други идентифицирани нужди.</w:t>
      </w:r>
    </w:p>
    <w:p w:rsidR="00223A70" w:rsidRPr="00E60913" w:rsidRDefault="00223A70" w:rsidP="00C8257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913">
        <w:rPr>
          <w:rFonts w:ascii="Times New Roman" w:hAnsi="Times New Roman" w:cs="Times New Roman"/>
          <w:b/>
          <w:bCs/>
          <w:sz w:val="24"/>
          <w:szCs w:val="24"/>
        </w:rPr>
        <w:t>Подкрепа за личностно развитие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Подкрепата на личностното развитие се осъществява във </w:t>
      </w:r>
      <w:r w:rsidRPr="00622AA5">
        <w:rPr>
          <w:rFonts w:ascii="Times New Roman" w:hAnsi="Times New Roman" w:cs="Times New Roman"/>
          <w:sz w:val="24"/>
          <w:szCs w:val="24"/>
          <w:lang w:eastAsia="bg-BG"/>
        </w:rPr>
        <w:t>връзка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с разработените областни стратегии за подкрепа на личностното развитие, както и въз основа на анализ на необходимостта от обща и допълнителна подкрепа.</w:t>
      </w:r>
    </w:p>
    <w:p w:rsidR="00223A70" w:rsidRPr="00F458FF" w:rsidRDefault="00223A70" w:rsidP="000A2D44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2.1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.</w:t>
      </w:r>
      <w:r w:rsidRPr="00F458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Обща подкрепа 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За организиране на по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крепата на личностното развитие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за координатор е определен заместник-директор, който изпълнява функциите си съобразно Наредба</w:t>
      </w:r>
      <w:r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за приобщаващото образование.</w:t>
      </w:r>
    </w:p>
    <w:p w:rsidR="00223A70" w:rsidRPr="00F458FF" w:rsidRDefault="00223A70" w:rsidP="004922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Общата подкрепа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се осъществява от е</w:t>
      </w:r>
      <w:r>
        <w:rPr>
          <w:rFonts w:ascii="Times New Roman" w:hAnsi="Times New Roman" w:cs="Times New Roman"/>
          <w:sz w:val="24"/>
          <w:szCs w:val="24"/>
          <w:lang w:eastAsia="bg-BG"/>
        </w:rPr>
        <w:t>кип, ръководен от координатора,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училищен психолог, логопед, педагогически съветник. Общата подкрепа е насочена към развитие на потенциала на всяко дете</w:t>
      </w:r>
      <w:r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ученик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като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включва екипна работа </w:t>
      </w:r>
      <w:r>
        <w:rPr>
          <w:rFonts w:ascii="Times New Roman" w:hAnsi="Times New Roman" w:cs="Times New Roman"/>
          <w:sz w:val="24"/>
          <w:szCs w:val="24"/>
          <w:lang w:eastAsia="bg-BG"/>
        </w:rPr>
        <w:t>м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ежду отделните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педагогически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специалисти и осигуряване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насочване към занимания по интереси. Заниманията по интереси могат да се организират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училище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или от други центрове за личностно развитие. </w:t>
      </w:r>
    </w:p>
    <w:p w:rsidR="00223A70" w:rsidRPr="00F458FF" w:rsidRDefault="00223A70" w:rsidP="004922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Кариерното ориентиране, провеждано от педагогическия съветник или консултант от кариерен център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също е част от общата подкрепа на учениците от първи</w:t>
      </w:r>
      <w:r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до последния клас за училището. </w:t>
      </w:r>
    </w:p>
    <w:p w:rsidR="00223A70" w:rsidRPr="00F458FF" w:rsidRDefault="00223A70" w:rsidP="004922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49224D">
        <w:rPr>
          <w:rFonts w:ascii="Times New Roman" w:hAnsi="Times New Roman" w:cs="Times New Roman"/>
          <w:sz w:val="24"/>
          <w:szCs w:val="24"/>
          <w:lang w:eastAsia="bg-BG"/>
        </w:rPr>
        <w:t>училище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функционира училищна библио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тека, ръководена от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определен за целта служител, която чрез осъществяване на различни дейности представлява част от общата по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крепа на децата и учениците. </w:t>
      </w:r>
    </w:p>
    <w:p w:rsidR="00223A70" w:rsidRPr="00F458FF" w:rsidRDefault="00223A70" w:rsidP="004922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Описаните в П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равилника за дейността на училището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морални и материални награди също са част от предоставяната обща подкрепа. </w:t>
      </w:r>
    </w:p>
    <w:p w:rsidR="00223A70" w:rsidRPr="00F458FF" w:rsidRDefault="00223A70" w:rsidP="004922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Общата подкрепа включва и други дейности, подробно описани в Наредба</w:t>
      </w:r>
      <w:r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за приобщаващото образование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23A70" w:rsidRPr="00F458FF" w:rsidRDefault="00223A70" w:rsidP="000A2D44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2.2. Допълнителна подкрепа </w:t>
      </w:r>
    </w:p>
    <w:p w:rsidR="00223A70" w:rsidRPr="00F458FF" w:rsidRDefault="00223A70" w:rsidP="004922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Допълнителната подкрепа се осъществява въз основа на направена оценка на индивидуа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лните способности на определен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ученик. Оценката на способностите се извършва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определен със заповед на директора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екип от специалисти съобразно необходимостта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ученика, която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след това се потвърждава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егионалн</w:t>
      </w:r>
      <w:r>
        <w:rPr>
          <w:rFonts w:ascii="Times New Roman" w:hAnsi="Times New Roman" w:cs="Times New Roman"/>
          <w:sz w:val="24"/>
          <w:szCs w:val="24"/>
          <w:lang w:eastAsia="bg-BG"/>
        </w:rPr>
        <w:t>ия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център за подкрепа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процесите по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приобщаващо образование.</w:t>
      </w:r>
    </w:p>
    <w:p w:rsidR="00223A70" w:rsidRPr="00F458FF" w:rsidRDefault="00223A70" w:rsidP="004922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Учениците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за които може да се поиска оценка на способностите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са от следните уязвими групи:</w:t>
      </w:r>
    </w:p>
    <w:p w:rsidR="00223A70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деца със специални образователни потребности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 деца с хронични заболявания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 деца в риск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Допълнителната подкрепа включва: 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 работа с дете или ученик по конкретен случай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 психо-социална рехабилитация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рехабилитация на слуха;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зрителна рехабилитация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рехабилитация на комуникативни нарушения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осигуряване на достъпна архитектурна среда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специализирани средства;</w:t>
      </w:r>
    </w:p>
    <w:p w:rsidR="00223A70" w:rsidRPr="00F458FF" w:rsidRDefault="00223A70" w:rsidP="00C8257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ресурсно подпомагане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23A70" w:rsidRPr="00F458FF" w:rsidRDefault="00223A70" w:rsidP="004922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Допълнителната подкрепа се реализира чрез план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подкрепа за всеки ученик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. Родителите задължително се включват в плана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подкрепа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като активни участници в дейностите.</w:t>
      </w:r>
    </w:p>
    <w:p w:rsidR="00223A70" w:rsidRPr="00F458FF" w:rsidRDefault="00223A70" w:rsidP="004922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Ако </w:t>
      </w: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егионалният център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подкрепа на процесите по приобщаващо образование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препоръча допълнителна подкрепа, но родителите откажат, </w:t>
      </w:r>
      <w:r w:rsidRPr="00F458F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училище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уведомява отдел „Закрила на детето“ към ДСП по местоживеене на детето с цел социалните служби да окажат съдействие и ако се налага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помощ на родителите за осъзнаване на нуждите на детето.</w:t>
      </w:r>
    </w:p>
    <w:p w:rsidR="00223A70" w:rsidRDefault="00223A70" w:rsidP="0049224D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223A70" w:rsidRPr="00714129" w:rsidRDefault="00223A70" w:rsidP="00CE58C7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129">
        <w:rPr>
          <w:rFonts w:ascii="Times New Roman" w:hAnsi="Times New Roman" w:cs="Times New Roman"/>
          <w:b/>
          <w:bCs/>
          <w:sz w:val="24"/>
          <w:szCs w:val="24"/>
        </w:rPr>
        <w:t>Приоритети на програмата:</w:t>
      </w:r>
    </w:p>
    <w:p w:rsidR="00223A70" w:rsidRDefault="00223A70" w:rsidP="00CE58C7">
      <w:pPr>
        <w:pStyle w:val="ListParagraph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3A70" w:rsidRPr="00714129" w:rsidRDefault="00223A70" w:rsidP="000A2D44">
      <w:pPr>
        <w:pStyle w:val="ListParagraph"/>
        <w:ind w:left="284" w:hanging="284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Изграждане на образователна среда за:</w:t>
      </w:r>
    </w:p>
    <w:p w:rsidR="00223A70" w:rsidRDefault="00223A70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равен достъп за качествено образование на всички приети ученици, независимо от техните различия;</w:t>
      </w:r>
    </w:p>
    <w:p w:rsidR="00223A70" w:rsidRDefault="00223A70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уважение към правата и свободите на всеки индивид, като базисна гражданска ценност;</w:t>
      </w:r>
    </w:p>
    <w:p w:rsidR="00223A70" w:rsidRDefault="00223A70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подходящ социално-психологически климат в училище за пълноценно участие в процесите на обучение и възпитание;</w:t>
      </w:r>
    </w:p>
    <w:p w:rsidR="00223A70" w:rsidRDefault="00223A70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Недопускане на прояви на дискриминация и оказване на консултативна педагогическа помощ при затруднения с адаптацията;</w:t>
      </w:r>
    </w:p>
    <w:p w:rsidR="00223A70" w:rsidRDefault="00223A70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Разгръщане потенциала на всяко дете и ученик за личностно развитие и успешна реализация;</w:t>
      </w:r>
    </w:p>
    <w:p w:rsidR="00223A70" w:rsidRDefault="00223A70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Ранна превенция на обучителните затруднения;</w:t>
      </w:r>
    </w:p>
    <w:p w:rsidR="00223A70" w:rsidRDefault="00223A70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Включващо обучение за деца и ученици със специфични образователни потребности;</w:t>
      </w:r>
    </w:p>
    <w:p w:rsidR="00223A70" w:rsidRDefault="00223A70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Включващо обучение и социално включване на ученици с девиантно поведение;</w:t>
      </w:r>
    </w:p>
    <w:p w:rsidR="00223A70" w:rsidRPr="00714129" w:rsidRDefault="00223A70" w:rsidP="000A2D44">
      <w:pPr>
        <w:ind w:left="284" w:hanging="284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Подход</w:t>
      </w:r>
    </w:p>
    <w:p w:rsidR="00223A70" w:rsidRDefault="00223A70" w:rsidP="00CE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Подпомагане въвеждането на интеркултурно образование в училище – чрез предмети от общообразователната и избираемата подготовка (формиране на толерантност сред всички деца и техните родители);</w:t>
      </w:r>
    </w:p>
    <w:p w:rsidR="00223A70" w:rsidRDefault="00223A70" w:rsidP="00CE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Прилагане на разнообразни форми на факултативна подготовка с цел приближаване на обучението до интересите и потребностите на учениците.</w:t>
      </w:r>
    </w:p>
    <w:p w:rsidR="00223A70" w:rsidRDefault="00223A70" w:rsidP="00CE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на разнообразни извънкласни и извънучилищни дейности като средство за ангажиране на училището с живота на местните общности и неправителствени организации, както и като възможност учениците да развиват своите способности като се забавляват.</w:t>
      </w:r>
    </w:p>
    <w:p w:rsidR="00223A70" w:rsidRPr="008A1FB2" w:rsidRDefault="00223A70" w:rsidP="00CE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Въвеждане на разнообразни форми за участие на родителите и представителите на местните общности в учебния процес и в живота на училището (активно участие на родителите в училищното настоятелство, участието им в различни класни и извънкласни форми).</w:t>
      </w:r>
    </w:p>
    <w:p w:rsidR="00223A70" w:rsidRPr="00714129" w:rsidRDefault="00223A70" w:rsidP="00C8257F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129">
        <w:rPr>
          <w:rFonts w:ascii="Times New Roman" w:hAnsi="Times New Roman" w:cs="Times New Roman"/>
          <w:b/>
          <w:bCs/>
          <w:sz w:val="24"/>
          <w:szCs w:val="24"/>
        </w:rPr>
        <w:t>Цели на програмата</w:t>
      </w:r>
    </w:p>
    <w:p w:rsidR="00223A70" w:rsidRDefault="00223A70" w:rsidP="00C8257F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равен достъп и подкрепа за развитие и приобщаване в системата на предучилищното и училищното образование за всички деца/ученици като предпоставка за равноправно социално включване и пълноценна личностна и обществена реализация</w:t>
      </w:r>
    </w:p>
    <w:p w:rsidR="00223A70" w:rsidRDefault="00223A70" w:rsidP="00C8257F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правата и интересите на учениците от уязвими групи.</w:t>
      </w:r>
    </w:p>
    <w:p w:rsidR="00223A70" w:rsidRDefault="00223A70" w:rsidP="00CE58C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3A70" w:rsidRPr="00714129" w:rsidRDefault="00223A70" w:rsidP="00C8257F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129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:rsidR="00223A70" w:rsidRDefault="00223A70" w:rsidP="00C8257F">
      <w:pPr>
        <w:pStyle w:val="ListParagraph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превърнем училището в място за всяко дете;</w:t>
      </w:r>
    </w:p>
    <w:p w:rsidR="00223A70" w:rsidRDefault="00223A70" w:rsidP="00C8257F">
      <w:pPr>
        <w:pStyle w:val="ListParagraph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 и осезаемо да подобряваме качеството на образование</w:t>
      </w:r>
    </w:p>
    <w:p w:rsidR="00223A70" w:rsidRDefault="00223A70" w:rsidP="00C8257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разширим интеркултурното образование чрез извънкласни форми и участия в проектни дейности;</w:t>
      </w:r>
    </w:p>
    <w:p w:rsidR="00223A70" w:rsidRDefault="00223A70" w:rsidP="00C8257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организираме класната стая така, че да се отчитат нуждите и интересите на всички деца;</w:t>
      </w:r>
    </w:p>
    <w:p w:rsidR="00223A70" w:rsidRDefault="00223A70" w:rsidP="00C8257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овластяваме родители до степен на допустимост, като ги включим в училищния живот;</w:t>
      </w:r>
    </w:p>
    <w:p w:rsidR="00223A70" w:rsidRDefault="00223A70" w:rsidP="00C8257F">
      <w:pPr>
        <w:pStyle w:val="ListParagraph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23A70" w:rsidRPr="00CE58C7" w:rsidRDefault="00223A70" w:rsidP="00CE58C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8C7">
        <w:rPr>
          <w:rFonts w:ascii="Times New Roman" w:hAnsi="Times New Roman" w:cs="Times New Roman"/>
          <w:b/>
          <w:bCs/>
          <w:sz w:val="24"/>
          <w:szCs w:val="24"/>
        </w:rPr>
        <w:t>Дейности за постигане на поставените цели и задачи</w:t>
      </w:r>
    </w:p>
    <w:p w:rsidR="00223A70" w:rsidRDefault="00223A70" w:rsidP="00CE58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2121"/>
        <w:gridCol w:w="2182"/>
        <w:gridCol w:w="2131"/>
      </w:tblGrid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Дейности 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Срок </w:t>
            </w: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Отговорник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Забележка </w:t>
            </w: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Определяне на координатор на екипите за подкрепа 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м. септември</w:t>
            </w: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Директор</w:t>
            </w: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</w:t>
            </w: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янен  </w:t>
            </w: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Координатор, класни ръководители, 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Екипна работа на учителите в даден клас 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Постоянен  </w:t>
            </w: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класни ръководител, учители 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при необходимост</w:t>
            </w: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Награждаване на ученици 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Текущ</w:t>
            </w: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директор, заместник-директор 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при и по определен повод за поощрение</w:t>
            </w: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завеждащ библиотека, 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да се направи по пов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</w:t>
            </w: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 Деня на книгата</w:t>
            </w: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м. септември</w:t>
            </w: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учители в ГЦОУД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Кариерно ориентиране и консултиране в класовете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Класни ръководители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Идентифициране на ученици със СОП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класни ръководител, учители, координатор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Формиране на екип за подкрепа </w:t>
            </w:r>
            <w:r w:rsidRPr="006213AD">
              <w:rPr>
                <w:rFonts w:ascii="Times New Roman" w:hAnsi="Times New Roman" w:cs="Times New Roman"/>
                <w:sz w:val="20"/>
                <w:szCs w:val="20"/>
              </w:rPr>
              <w:t>на личностно развитие, в състав психолог, специален педагог, логопед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Директор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Оценка на потребности на ученици със СОП 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ЕПЛР 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не по-късно от 3 месеца след идентифициране на нуждата</w:t>
            </w: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Целогодищно</w:t>
            </w: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психолог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</w:rPr>
              <w:t>Създаване на условия за развитие на талантливи деца чрез насърчаване на техните творчески изяви (участия в изложби, базари, концерти, състезания)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директор, </w:t>
            </w: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зам.-директор, учители, психолог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Стимулиране участието на деца и ученици от различни етнически групи в състезания и олимпиади.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3A70" w:rsidRPr="006213AD">
        <w:tc>
          <w:tcPr>
            <w:tcW w:w="2142" w:type="dxa"/>
          </w:tcPr>
          <w:p w:rsidR="00223A70" w:rsidRPr="006213AD" w:rsidRDefault="00223A70" w:rsidP="006213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</w:rPr>
              <w:t>Осигуряване при необходимост на допълнително обучение по български език за деца и ученици от етническите малцинства.</w:t>
            </w:r>
          </w:p>
        </w:tc>
        <w:tc>
          <w:tcPr>
            <w:tcW w:w="212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3AD">
              <w:rPr>
                <w:rFonts w:ascii="Times New Roman" w:hAnsi="Times New Roman" w:cs="Times New Roman"/>
                <w:sz w:val="20"/>
                <w:szCs w:val="20"/>
              </w:rPr>
              <w:t>Учители</w:t>
            </w:r>
          </w:p>
        </w:tc>
        <w:tc>
          <w:tcPr>
            <w:tcW w:w="2131" w:type="dxa"/>
          </w:tcPr>
          <w:p w:rsidR="00223A70" w:rsidRPr="006213AD" w:rsidRDefault="00223A70" w:rsidP="0062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A70" w:rsidRDefault="00223A70" w:rsidP="00C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70" w:rsidRDefault="00223A70" w:rsidP="00C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70" w:rsidRDefault="00223A70"/>
    <w:sectPr w:rsidR="00223A70" w:rsidSect="00A0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82C"/>
    <w:multiLevelType w:val="hybridMultilevel"/>
    <w:tmpl w:val="B2FCDF9C"/>
    <w:lvl w:ilvl="0" w:tplc="E36C43E2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">
    <w:nsid w:val="31E01BAD"/>
    <w:multiLevelType w:val="hybridMultilevel"/>
    <w:tmpl w:val="31A298D8"/>
    <w:lvl w:ilvl="0" w:tplc="0916F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1FD9"/>
    <w:multiLevelType w:val="hybridMultilevel"/>
    <w:tmpl w:val="FAE25580"/>
    <w:lvl w:ilvl="0" w:tplc="917EFB4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57" w:hanging="360"/>
      </w:pPr>
    </w:lvl>
    <w:lvl w:ilvl="2" w:tplc="0402001B">
      <w:start w:val="1"/>
      <w:numFmt w:val="lowerRoman"/>
      <w:lvlText w:val="%3."/>
      <w:lvlJc w:val="right"/>
      <w:pPr>
        <w:ind w:left="2877" w:hanging="180"/>
      </w:pPr>
    </w:lvl>
    <w:lvl w:ilvl="3" w:tplc="0402000F">
      <w:start w:val="1"/>
      <w:numFmt w:val="decimal"/>
      <w:lvlText w:val="%4."/>
      <w:lvlJc w:val="left"/>
      <w:pPr>
        <w:ind w:left="3597" w:hanging="360"/>
      </w:pPr>
    </w:lvl>
    <w:lvl w:ilvl="4" w:tplc="04020019">
      <w:start w:val="1"/>
      <w:numFmt w:val="lowerLetter"/>
      <w:lvlText w:val="%5."/>
      <w:lvlJc w:val="left"/>
      <w:pPr>
        <w:ind w:left="4317" w:hanging="360"/>
      </w:pPr>
    </w:lvl>
    <w:lvl w:ilvl="5" w:tplc="0402001B">
      <w:start w:val="1"/>
      <w:numFmt w:val="lowerRoman"/>
      <w:lvlText w:val="%6."/>
      <w:lvlJc w:val="right"/>
      <w:pPr>
        <w:ind w:left="5037" w:hanging="180"/>
      </w:pPr>
    </w:lvl>
    <w:lvl w:ilvl="6" w:tplc="0402000F">
      <w:start w:val="1"/>
      <w:numFmt w:val="decimal"/>
      <w:lvlText w:val="%7."/>
      <w:lvlJc w:val="left"/>
      <w:pPr>
        <w:ind w:left="5757" w:hanging="360"/>
      </w:pPr>
    </w:lvl>
    <w:lvl w:ilvl="7" w:tplc="04020019">
      <w:start w:val="1"/>
      <w:numFmt w:val="lowerLetter"/>
      <w:lvlText w:val="%8."/>
      <w:lvlJc w:val="left"/>
      <w:pPr>
        <w:ind w:left="6477" w:hanging="360"/>
      </w:pPr>
    </w:lvl>
    <w:lvl w:ilvl="8" w:tplc="0402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51D"/>
    <w:rsid w:val="00013FF3"/>
    <w:rsid w:val="0005351D"/>
    <w:rsid w:val="000A2D44"/>
    <w:rsid w:val="00100D0A"/>
    <w:rsid w:val="00223A70"/>
    <w:rsid w:val="002B71AE"/>
    <w:rsid w:val="003F5541"/>
    <w:rsid w:val="0043628D"/>
    <w:rsid w:val="0049224D"/>
    <w:rsid w:val="006213AD"/>
    <w:rsid w:val="00622AA5"/>
    <w:rsid w:val="00631EEA"/>
    <w:rsid w:val="006401A5"/>
    <w:rsid w:val="0066207D"/>
    <w:rsid w:val="006F6141"/>
    <w:rsid w:val="00714129"/>
    <w:rsid w:val="0077193D"/>
    <w:rsid w:val="007A7801"/>
    <w:rsid w:val="007E5CDB"/>
    <w:rsid w:val="008A1FB2"/>
    <w:rsid w:val="00953C8A"/>
    <w:rsid w:val="009E454E"/>
    <w:rsid w:val="00A00C58"/>
    <w:rsid w:val="00A51124"/>
    <w:rsid w:val="00AF7E3B"/>
    <w:rsid w:val="00C8257F"/>
    <w:rsid w:val="00CA5A66"/>
    <w:rsid w:val="00CA6DEC"/>
    <w:rsid w:val="00CE58C7"/>
    <w:rsid w:val="00E475C7"/>
    <w:rsid w:val="00E60913"/>
    <w:rsid w:val="00EE1BF6"/>
    <w:rsid w:val="00F458FF"/>
    <w:rsid w:val="00FA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7F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A2D44"/>
    <w:pPr>
      <w:keepNext/>
      <w:spacing w:before="240" w:after="60" w:line="240" w:lineRule="auto"/>
      <w:outlineLvl w:val="2"/>
    </w:pPr>
    <w:rPr>
      <w:rFonts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75C7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C8257F"/>
    <w:pPr>
      <w:ind w:left="720"/>
    </w:pPr>
  </w:style>
  <w:style w:type="table" w:styleId="TableGrid">
    <w:name w:val="Table Grid"/>
    <w:basedOn w:val="TableNormal"/>
    <w:uiPriority w:val="99"/>
    <w:rsid w:val="00CE58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A2D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75C7"/>
    <w:rPr>
      <w:rFonts w:ascii="Times New Roman" w:hAnsi="Times New Roman" w:cs="Times New Roman"/>
      <w:sz w:val="2"/>
      <w:szCs w:val="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A2D44"/>
    <w:pPr>
      <w:spacing w:after="0" w:line="240" w:lineRule="auto"/>
      <w:jc w:val="center"/>
    </w:pPr>
    <w:rPr>
      <w:b/>
      <w:bCs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E475C7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A2D4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A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1470</Words>
  <Characters>8384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IstiStoinov</dc:creator>
  <cp:keywords/>
  <dc:description/>
  <cp:lastModifiedBy>user</cp:lastModifiedBy>
  <cp:revision>5</cp:revision>
  <cp:lastPrinted>2020-09-23T13:32:00Z</cp:lastPrinted>
  <dcterms:created xsi:type="dcterms:W3CDTF">2020-09-23T13:32:00Z</dcterms:created>
  <dcterms:modified xsi:type="dcterms:W3CDTF">2021-09-14T11:56:00Z</dcterms:modified>
</cp:coreProperties>
</file>