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E2" w:rsidRPr="001F5883" w:rsidRDefault="001F5883" w:rsidP="00183EE2">
      <w:pPr>
        <w:ind w:hanging="1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883">
        <w:rPr>
          <w:rFonts w:ascii="Times New Roman" w:hAnsi="Times New Roman" w:cs="Times New Roman"/>
          <w:b/>
          <w:i/>
          <w:sz w:val="24"/>
          <w:szCs w:val="24"/>
        </w:rPr>
        <w:t>НУ“СВЕТИ ПАИСИЙ ХИЛЕНДАРСКИ“</w:t>
      </w:r>
    </w:p>
    <w:p w:rsidR="00C92AA9" w:rsidRDefault="00C92AA9" w:rsidP="00183EE2">
      <w:pPr>
        <w:ind w:hanging="17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2AA9" w:rsidRDefault="00C92AA9" w:rsidP="00183EE2">
      <w:pPr>
        <w:ind w:hanging="17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83EE2" w:rsidRPr="005C0285" w:rsidRDefault="00183EE2" w:rsidP="00183EE2">
      <w:pPr>
        <w:ind w:hanging="17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C0285">
        <w:rPr>
          <w:rFonts w:ascii="Times New Roman" w:hAnsi="Times New Roman" w:cs="Times New Roman"/>
          <w:b/>
          <w:sz w:val="24"/>
          <w:szCs w:val="24"/>
        </w:rPr>
        <w:t xml:space="preserve">УТВЪРЖДАВАМ:                         </w:t>
      </w:r>
      <w:r w:rsidRPr="005C0285">
        <w:rPr>
          <w:rFonts w:ascii="Times New Roman" w:hAnsi="Times New Roman" w:cs="Times New Roman"/>
          <w:b/>
          <w:sz w:val="24"/>
          <w:szCs w:val="24"/>
        </w:rPr>
        <w:tab/>
      </w:r>
      <w:r w:rsidRPr="005C0285">
        <w:rPr>
          <w:rFonts w:ascii="Times New Roman" w:hAnsi="Times New Roman" w:cs="Times New Roman"/>
          <w:b/>
          <w:sz w:val="24"/>
          <w:szCs w:val="24"/>
        </w:rPr>
        <w:tab/>
      </w:r>
      <w:r w:rsidRPr="005C0285">
        <w:rPr>
          <w:rFonts w:ascii="Times New Roman" w:hAnsi="Times New Roman" w:cs="Times New Roman"/>
          <w:b/>
          <w:sz w:val="24"/>
          <w:szCs w:val="24"/>
        </w:rPr>
        <w:tab/>
      </w:r>
      <w:r w:rsidRPr="005C028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</w:t>
      </w:r>
    </w:p>
    <w:p w:rsidR="00183EE2" w:rsidRPr="00C92AA9" w:rsidRDefault="00B43ACB" w:rsidP="00C92AA9">
      <w:pPr>
        <w:ind w:hanging="176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Андриана Белчева</w:t>
      </w:r>
    </w:p>
    <w:p w:rsidR="00183EE2" w:rsidRDefault="00B43ACB" w:rsidP="00183EE2">
      <w:pPr>
        <w:ind w:hanging="17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Заповед № 361 / 14.09.2018 г.</w:t>
      </w:r>
    </w:p>
    <w:p w:rsidR="00183EE2" w:rsidRDefault="00183EE2" w:rsidP="00183EE2">
      <w:pPr>
        <w:ind w:hanging="176"/>
        <w:rPr>
          <w:rFonts w:ascii="Times New Roman" w:hAnsi="Times New Roman" w:cs="Times New Roman"/>
          <w:b/>
          <w:i/>
          <w:sz w:val="24"/>
          <w:szCs w:val="24"/>
        </w:rPr>
      </w:pPr>
    </w:p>
    <w:p w:rsidR="00183EE2" w:rsidRDefault="00183EE2" w:rsidP="00183EE2">
      <w:pPr>
        <w:ind w:hanging="176"/>
        <w:rPr>
          <w:rFonts w:ascii="Times New Roman" w:hAnsi="Times New Roman" w:cs="Times New Roman"/>
          <w:b/>
          <w:i/>
          <w:sz w:val="24"/>
          <w:szCs w:val="24"/>
        </w:rPr>
      </w:pPr>
    </w:p>
    <w:p w:rsidR="00183EE2" w:rsidRDefault="00183EE2" w:rsidP="00183EE2">
      <w:pPr>
        <w:ind w:hanging="176"/>
        <w:rPr>
          <w:rFonts w:ascii="Times New Roman" w:hAnsi="Times New Roman" w:cs="Times New Roman"/>
          <w:b/>
          <w:i/>
          <w:sz w:val="24"/>
          <w:szCs w:val="24"/>
        </w:rPr>
      </w:pPr>
    </w:p>
    <w:p w:rsidR="00183EE2" w:rsidRDefault="00183EE2" w:rsidP="00183EE2">
      <w:pPr>
        <w:ind w:hanging="176"/>
        <w:rPr>
          <w:rFonts w:ascii="Times New Roman" w:hAnsi="Times New Roman" w:cs="Times New Roman"/>
          <w:b/>
          <w:i/>
          <w:sz w:val="24"/>
          <w:szCs w:val="24"/>
        </w:rPr>
      </w:pPr>
    </w:p>
    <w:p w:rsidR="00183EE2" w:rsidRDefault="00183EE2" w:rsidP="00183EE2">
      <w:pPr>
        <w:ind w:hanging="176"/>
        <w:rPr>
          <w:rFonts w:ascii="Times New Roman" w:hAnsi="Times New Roman" w:cs="Times New Roman"/>
          <w:b/>
          <w:i/>
          <w:sz w:val="24"/>
          <w:szCs w:val="24"/>
        </w:rPr>
      </w:pPr>
    </w:p>
    <w:p w:rsidR="00183EE2" w:rsidRPr="005C0285" w:rsidRDefault="00183EE2" w:rsidP="00183EE2">
      <w:pPr>
        <w:ind w:hanging="176"/>
        <w:rPr>
          <w:rFonts w:ascii="Times New Roman" w:hAnsi="Times New Roman" w:cs="Times New Roman"/>
          <w:b/>
          <w:i/>
          <w:sz w:val="24"/>
          <w:szCs w:val="24"/>
        </w:rPr>
      </w:pPr>
    </w:p>
    <w:p w:rsidR="00183EE2" w:rsidRPr="005C0285" w:rsidRDefault="00183EE2" w:rsidP="00183EE2">
      <w:pPr>
        <w:rPr>
          <w:rFonts w:ascii="Times New Roman" w:hAnsi="Times New Roman" w:cs="Times New Roman"/>
          <w:b/>
          <w:sz w:val="24"/>
          <w:szCs w:val="24"/>
        </w:rPr>
      </w:pPr>
      <w:r w:rsidRPr="005C0285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F458FF" w:rsidRPr="00F458FF" w:rsidRDefault="00F458FF" w:rsidP="00F458FF">
      <w:pPr>
        <w:pStyle w:val="2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458159021"/>
      <w:r w:rsidRPr="00F458FF">
        <w:rPr>
          <w:rFonts w:ascii="Times New Roman" w:hAnsi="Times New Roman" w:cs="Times New Roman"/>
          <w:sz w:val="24"/>
          <w:szCs w:val="24"/>
        </w:rPr>
        <w:t>ПРОГРАМА ЗА ПРЕДОСТАВЯНЕ НА РАВНИ ВЪЗМОЖНОСТИ И ЗА ПРИОБЩАВАНЕ НА ДЕЦА И УЧЕНИЦИ ОТ УЯЗВИМИ ГРУПИ (2016 – 2020</w:t>
      </w:r>
      <w:bookmarkEnd w:id="1"/>
      <w:r w:rsidRPr="00F458FF">
        <w:rPr>
          <w:rFonts w:ascii="Times New Roman" w:hAnsi="Times New Roman" w:cs="Times New Roman"/>
          <w:sz w:val="24"/>
          <w:szCs w:val="24"/>
        </w:rPr>
        <w:t>)</w:t>
      </w:r>
    </w:p>
    <w:p w:rsidR="00F458FF" w:rsidRDefault="00F458FF" w:rsidP="00B57FEF">
      <w:pPr>
        <w:jc w:val="center"/>
        <w:rPr>
          <w:rFonts w:ascii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F5883" w:rsidRDefault="001F5883" w:rsidP="00B57FEF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НУ“ Св.Паисий  Хилендарски“</w:t>
      </w:r>
    </w:p>
    <w:p w:rsidR="00183EE2" w:rsidRDefault="001F5883" w:rsidP="00183E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>село Зимница</w:t>
      </w:r>
    </w:p>
    <w:p w:rsidR="00183EE2" w:rsidRDefault="00183EE2" w:rsidP="00183E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83EE2" w:rsidRDefault="00183EE2" w:rsidP="00183E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83EE2" w:rsidRDefault="00183EE2" w:rsidP="00183E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83EE2" w:rsidRDefault="00183EE2" w:rsidP="00183E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83EE2" w:rsidRDefault="00183EE2" w:rsidP="00183E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83EE2" w:rsidRDefault="00183EE2" w:rsidP="00183E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83EE2" w:rsidRDefault="00183EE2" w:rsidP="00183E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83EE2" w:rsidRDefault="00183EE2" w:rsidP="00183E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83EE2" w:rsidRDefault="00183EE2" w:rsidP="00183EE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83EE2" w:rsidRDefault="00183EE2" w:rsidP="00183EE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5C02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Решение на ПС </w:t>
      </w:r>
      <w:r w:rsidRPr="005C0285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Start"/>
      <w:r w:rsidRPr="005C0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3ACB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="00B43ACB">
        <w:rPr>
          <w:rFonts w:ascii="Times New Roman" w:hAnsi="Times New Roman" w:cs="Times New Roman"/>
          <w:sz w:val="24"/>
          <w:szCs w:val="24"/>
          <w:lang w:val="ru-RU"/>
        </w:rPr>
        <w:t xml:space="preserve"> протокол №11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C0285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B43ACB">
        <w:rPr>
          <w:rFonts w:ascii="Times New Roman" w:hAnsi="Times New Roman" w:cs="Times New Roman"/>
          <w:sz w:val="24"/>
          <w:szCs w:val="24"/>
          <w:lang w:val="ru-RU"/>
        </w:rPr>
        <w:t>14.09.2018 г</w:t>
      </w:r>
    </w:p>
    <w:p w:rsidR="00B46540" w:rsidRDefault="00B46540" w:rsidP="00B4654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456958973"/>
      <w:bookmarkStart w:id="3" w:name="_Toc456959691"/>
      <w:bookmarkStart w:id="4" w:name="_Toc458068670"/>
      <w:bookmarkStart w:id="5" w:name="_Toc458159027"/>
    </w:p>
    <w:p w:rsidR="00F458FF" w:rsidRDefault="00F458FF" w:rsidP="00F458FF">
      <w:pPr>
        <w:rPr>
          <w:b/>
          <w:lang w:eastAsia="bg-BG"/>
        </w:rPr>
      </w:pPr>
    </w:p>
    <w:p w:rsidR="001F5883" w:rsidRDefault="001F5883" w:rsidP="00F458FF">
      <w:pPr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:rsidR="00B43ACB" w:rsidRDefault="00B43ACB" w:rsidP="00F458FF">
      <w:pPr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:rsidR="00B43ACB" w:rsidRDefault="00B43ACB" w:rsidP="00F458FF">
      <w:pPr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:rsidR="00F458FF" w:rsidRPr="00F458FF" w:rsidRDefault="00F458FF" w:rsidP="00F458FF">
      <w:pPr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b/>
          <w:sz w:val="24"/>
          <w:szCs w:val="24"/>
          <w:lang w:eastAsia="bg-BG"/>
        </w:rPr>
        <w:t>І. УВОД</w:t>
      </w:r>
    </w:p>
    <w:p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>Настоящата програма цели да начертае целите и задачите на работа с деца и ученици от</w:t>
      </w:r>
      <w:r w:rsidRPr="00F458FF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 w:rsidR="001F5883">
        <w:rPr>
          <w:rFonts w:ascii="Times New Roman" w:hAnsi="Times New Roman" w:cs="Times New Roman"/>
          <w:sz w:val="24"/>
          <w:szCs w:val="24"/>
          <w:lang w:eastAsia="bg-BG"/>
        </w:rPr>
        <w:t>НУ“ Св.П.Хилендарски“</w:t>
      </w:r>
      <w:r w:rsidR="002B71AE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и урежда взаимоотношенията между институциите във връзка с предоставянето на приобщаващо образование.  </w:t>
      </w:r>
    </w:p>
    <w:p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>Програмата е изготвена в съответствие с действащите стратегически и оперативни национални документи на централните ведомства в изпълнение на държавната политика за предоставяне на равни възможности на всички български граждани и за приобщаване на децата и учениците от уязвими групи.</w:t>
      </w:r>
    </w:p>
    <w:p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>Училищната програма се базира на:</w:t>
      </w:r>
    </w:p>
    <w:p w:rsidR="00F458FF" w:rsidRPr="00F458FF" w:rsidRDefault="00F458FF" w:rsidP="00F458F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>Закон за предучилищното и училищното образование</w:t>
      </w:r>
    </w:p>
    <w:p w:rsidR="00F458FF" w:rsidRPr="00F458FF" w:rsidRDefault="00F458FF" w:rsidP="00F458F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>Наредба за приобщаващото образование</w:t>
      </w:r>
    </w:p>
    <w:p w:rsidR="00F458FF" w:rsidRPr="00F458FF" w:rsidRDefault="00F458FF" w:rsidP="00F458F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>Стратегия за образователна интеграция на децата и учениците от етническите малцинства</w:t>
      </w:r>
    </w:p>
    <w:p w:rsidR="00F458FF" w:rsidRPr="00F458FF" w:rsidRDefault="00F458FF" w:rsidP="00F458F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>Рамкова програма за интегриране на ромите в българското общество (2010 – 2020 г.)</w:t>
      </w:r>
    </w:p>
    <w:p w:rsidR="00F458FF" w:rsidRPr="00F458FF" w:rsidRDefault="00F458FF" w:rsidP="00F458F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>Национална стратегия на Р</w:t>
      </w:r>
      <w:r w:rsidR="002B71AE">
        <w:rPr>
          <w:rFonts w:ascii="Times New Roman" w:hAnsi="Times New Roman" w:cs="Times New Roman"/>
          <w:sz w:val="24"/>
          <w:szCs w:val="24"/>
          <w:lang w:eastAsia="bg-BG"/>
        </w:rPr>
        <w:t>епублика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 България за интегриране на ромите (2012 – 2020 г.)</w:t>
      </w:r>
    </w:p>
    <w:p w:rsidR="00F458FF" w:rsidRPr="00F458FF" w:rsidRDefault="00F458FF" w:rsidP="00F458F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val="ru-RU" w:eastAsia="bg-BG"/>
        </w:rPr>
        <w:t>Закон за защита от дискриминация</w:t>
      </w:r>
    </w:p>
    <w:p w:rsidR="00F458FF" w:rsidRPr="00F458FF" w:rsidRDefault="00F458FF" w:rsidP="00F458F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>Конвенция</w:t>
      </w:r>
      <w:r w:rsidRPr="00F458FF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за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 борба срещу дискриминацията</w:t>
      </w:r>
      <w:r w:rsidRPr="00F458FF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в областта на образованието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</w:p>
    <w:p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val="ru-RU" w:eastAsia="bg-BG"/>
        </w:rPr>
        <w:t>Програмата включва ред</w:t>
      </w:r>
      <w:r w:rsidR="002B71AE">
        <w:rPr>
          <w:rFonts w:ascii="Times New Roman" w:hAnsi="Times New Roman" w:cs="Times New Roman"/>
          <w:sz w:val="24"/>
          <w:szCs w:val="24"/>
          <w:lang w:val="ru-RU" w:eastAsia="bg-BG"/>
        </w:rPr>
        <w:t>а</w:t>
      </w:r>
      <w:r w:rsidRPr="00F458FF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и начините за оказване на обща и допълнителна подкрепа на всички деца и ученици, които имат необходимост от такива в </w:t>
      </w:r>
      <w:r w:rsidR="002B71AE">
        <w:rPr>
          <w:rFonts w:ascii="Times New Roman" w:hAnsi="Times New Roman" w:cs="Times New Roman"/>
          <w:sz w:val="24"/>
          <w:szCs w:val="24"/>
          <w:lang w:val="ru-RU" w:eastAsia="bg-BG"/>
        </w:rPr>
        <w:t>(</w:t>
      </w:r>
      <w:r w:rsidRPr="00F458FF">
        <w:rPr>
          <w:rFonts w:ascii="Times New Roman" w:hAnsi="Times New Roman" w:cs="Times New Roman"/>
          <w:sz w:val="24"/>
          <w:szCs w:val="24"/>
          <w:lang w:val="ru-RU" w:eastAsia="bg-BG"/>
        </w:rPr>
        <w:t>училище</w:t>
      </w:r>
      <w:r w:rsidR="002B71AE">
        <w:rPr>
          <w:rFonts w:ascii="Times New Roman" w:hAnsi="Times New Roman" w:cs="Times New Roman"/>
          <w:sz w:val="24"/>
          <w:szCs w:val="24"/>
          <w:lang w:val="ru-RU" w:eastAsia="bg-BG"/>
        </w:rPr>
        <w:t>)</w:t>
      </w:r>
      <w:r w:rsidRPr="00F458FF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, съобразно </w:t>
      </w:r>
      <w:r w:rsidR="00622AA5" w:rsidRPr="00622AA5">
        <w:rPr>
          <w:rFonts w:ascii="Times New Roman" w:hAnsi="Times New Roman" w:cs="Times New Roman"/>
          <w:sz w:val="24"/>
          <w:szCs w:val="24"/>
          <w:lang w:val="ru-RU" w:eastAsia="bg-BG"/>
        </w:rPr>
        <w:t>неговите</w:t>
      </w:r>
      <w:r w:rsidRPr="00622AA5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и</w:t>
      </w:r>
      <w:r w:rsidRPr="00F458FF">
        <w:rPr>
          <w:rFonts w:ascii="Times New Roman" w:hAnsi="Times New Roman" w:cs="Times New Roman"/>
          <w:sz w:val="24"/>
          <w:szCs w:val="24"/>
          <w:lang w:val="ru-RU" w:eastAsia="bg-BG"/>
        </w:rPr>
        <w:t>нтереси, потребности и нужди.</w:t>
      </w:r>
    </w:p>
    <w:p w:rsidR="00F458FF" w:rsidRPr="00F458FF" w:rsidRDefault="001F5883" w:rsidP="00F458FF">
      <w:pPr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 w:eastAsia="bg-BG"/>
        </w:rPr>
        <w:t>Уязвими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bg-BG"/>
        </w:rPr>
        <w:t>групи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bg-BG"/>
        </w:rPr>
        <w:t>НУ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bg-BG"/>
        </w:rPr>
        <w:t>»С</w:t>
      </w:r>
      <w:proofErr w:type="gramEnd"/>
      <w:r>
        <w:rPr>
          <w:rFonts w:ascii="Times New Roman" w:hAnsi="Times New Roman" w:cs="Times New Roman"/>
          <w:sz w:val="24"/>
          <w:szCs w:val="24"/>
          <w:lang w:val="ru-RU" w:eastAsia="bg-BG"/>
        </w:rPr>
        <w:t>в.П.Хилендарски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bg-BG"/>
        </w:rPr>
        <w:t>»</w:t>
      </w:r>
      <w:r w:rsidR="002B71AE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F458FF" w:rsidRPr="00F458FF">
        <w:rPr>
          <w:rFonts w:ascii="Times New Roman" w:hAnsi="Times New Roman" w:cs="Times New Roman"/>
          <w:sz w:val="24"/>
          <w:szCs w:val="24"/>
          <w:lang w:val="ru-RU" w:eastAsia="bg-BG"/>
        </w:rPr>
        <w:t>са</w:t>
      </w:r>
      <w:proofErr w:type="spellEnd"/>
      <w:r w:rsidR="00F458FF" w:rsidRPr="00F458FF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F458FF" w:rsidRPr="00F458FF">
        <w:rPr>
          <w:rFonts w:ascii="Times New Roman" w:hAnsi="Times New Roman" w:cs="Times New Roman"/>
          <w:sz w:val="24"/>
          <w:szCs w:val="24"/>
          <w:lang w:val="ru-RU" w:eastAsia="bg-BG"/>
        </w:rPr>
        <w:t>деца</w:t>
      </w:r>
      <w:proofErr w:type="spellEnd"/>
      <w:r w:rsidR="00F458FF" w:rsidRPr="00F458FF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и </w:t>
      </w:r>
      <w:proofErr w:type="spellStart"/>
      <w:r w:rsidR="00F458FF" w:rsidRPr="00F458FF">
        <w:rPr>
          <w:rFonts w:ascii="Times New Roman" w:hAnsi="Times New Roman" w:cs="Times New Roman"/>
          <w:sz w:val="24"/>
          <w:szCs w:val="24"/>
          <w:lang w:val="ru-RU" w:eastAsia="bg-BG"/>
        </w:rPr>
        <w:t>ученици</w:t>
      </w:r>
      <w:proofErr w:type="spellEnd"/>
      <w:r w:rsidR="00F458FF" w:rsidRPr="00F458FF">
        <w:rPr>
          <w:rFonts w:ascii="Times New Roman" w:hAnsi="Times New Roman" w:cs="Times New Roman"/>
          <w:sz w:val="24"/>
          <w:szCs w:val="24"/>
          <w:lang w:val="ru-RU" w:eastAsia="bg-BG"/>
        </w:rPr>
        <w:t>, диагностицирани със специални образователни потребности, хронични заболявания, двигателни увреждания, деца и ученици в риск, деца и ученици, застрашени или жертва на насилие, деца с изявени дарби, деца</w:t>
      </w:r>
      <w:r w:rsidR="002B71AE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="00F458FF" w:rsidRPr="00F458FF">
        <w:rPr>
          <w:rFonts w:ascii="Times New Roman" w:hAnsi="Times New Roman" w:cs="Times New Roman"/>
          <w:sz w:val="24"/>
          <w:szCs w:val="24"/>
          <w:lang w:val="ru-RU" w:eastAsia="bg-BG"/>
        </w:rPr>
        <w:t>сираци и полусираци, деца</w:t>
      </w:r>
      <w:r w:rsidR="002B71AE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="00F458FF" w:rsidRPr="00F458FF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бежнаци, деца от различни етнически групи и </w:t>
      </w:r>
      <w:r w:rsidR="002B71AE">
        <w:rPr>
          <w:rFonts w:ascii="Times New Roman" w:hAnsi="Times New Roman" w:cs="Times New Roman"/>
          <w:sz w:val="24"/>
          <w:szCs w:val="24"/>
          <w:lang w:val="ru-RU" w:eastAsia="bg-BG"/>
        </w:rPr>
        <w:t>п</w:t>
      </w:r>
      <w:r w:rsidR="00F458FF" w:rsidRPr="00F458FF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р. с други идентифицирани нужди. </w:t>
      </w:r>
    </w:p>
    <w:p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</w:p>
    <w:p w:rsidR="00F458FF" w:rsidRPr="00F458FF" w:rsidRDefault="00F458FF" w:rsidP="00F458FF">
      <w:pPr>
        <w:jc w:val="both"/>
        <w:rPr>
          <w:rFonts w:ascii="Times New Roman" w:hAnsi="Times New Roman" w:cs="Times New Roman"/>
          <w:b/>
          <w:caps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b/>
          <w:caps/>
          <w:sz w:val="24"/>
          <w:szCs w:val="24"/>
          <w:lang w:val="en-US" w:eastAsia="bg-BG"/>
        </w:rPr>
        <w:t>II</w:t>
      </w:r>
      <w:r w:rsidRPr="00F458FF">
        <w:rPr>
          <w:rFonts w:ascii="Times New Roman" w:hAnsi="Times New Roman" w:cs="Times New Roman"/>
          <w:b/>
          <w:caps/>
          <w:sz w:val="24"/>
          <w:szCs w:val="24"/>
          <w:lang w:eastAsia="bg-BG"/>
        </w:rPr>
        <w:t xml:space="preserve">. Подкрепа на личностното развитие </w:t>
      </w:r>
    </w:p>
    <w:p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Подкрепата на личностното развитие се осъществява във </w:t>
      </w:r>
      <w:r w:rsidRPr="00622AA5">
        <w:rPr>
          <w:rFonts w:ascii="Times New Roman" w:hAnsi="Times New Roman" w:cs="Times New Roman"/>
          <w:sz w:val="24"/>
          <w:szCs w:val="24"/>
          <w:lang w:eastAsia="bg-BG"/>
        </w:rPr>
        <w:t>връзка</w:t>
      </w:r>
      <w:r w:rsidR="00622AA5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>с разработените областни стратегии за подкрепа на личностното развитие, както и въз основа на анализ на необходимостта от обща и допълнителна подкрепа.</w:t>
      </w:r>
    </w:p>
    <w:p w:rsidR="00F458FF" w:rsidRPr="00F458FF" w:rsidRDefault="00F458FF" w:rsidP="00F458FF">
      <w:pPr>
        <w:jc w:val="both"/>
        <w:rPr>
          <w:rFonts w:ascii="Times New Roman" w:hAnsi="Times New Roman" w:cs="Times New Roman"/>
          <w:b/>
          <w:i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b/>
          <w:i/>
          <w:sz w:val="24"/>
          <w:szCs w:val="24"/>
          <w:lang w:eastAsia="bg-BG"/>
        </w:rPr>
        <w:t>2.1</w:t>
      </w:r>
      <w:r w:rsidR="002B71AE">
        <w:rPr>
          <w:rFonts w:ascii="Times New Roman" w:hAnsi="Times New Roman" w:cs="Times New Roman"/>
          <w:b/>
          <w:i/>
          <w:sz w:val="24"/>
          <w:szCs w:val="24"/>
          <w:lang w:eastAsia="bg-BG"/>
        </w:rPr>
        <w:t>.</w:t>
      </w:r>
      <w:r w:rsidRPr="00F458FF">
        <w:rPr>
          <w:rFonts w:ascii="Times New Roman" w:hAnsi="Times New Roman" w:cs="Times New Roman"/>
          <w:b/>
          <w:i/>
          <w:sz w:val="24"/>
          <w:szCs w:val="24"/>
          <w:lang w:eastAsia="bg-BG"/>
        </w:rPr>
        <w:t xml:space="preserve"> Обща подкрепа </w:t>
      </w:r>
    </w:p>
    <w:p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>За организиране на по</w:t>
      </w:r>
      <w:r>
        <w:rPr>
          <w:rFonts w:ascii="Times New Roman" w:hAnsi="Times New Roman" w:cs="Times New Roman"/>
          <w:sz w:val="24"/>
          <w:szCs w:val="24"/>
          <w:lang w:eastAsia="bg-BG"/>
        </w:rPr>
        <w:t>д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крепата на личностното развитие в </w:t>
      </w:r>
      <w:r w:rsidR="001F5883">
        <w:rPr>
          <w:rFonts w:ascii="Times New Roman" w:hAnsi="Times New Roman" w:cs="Times New Roman"/>
          <w:sz w:val="24"/>
          <w:szCs w:val="24"/>
          <w:lang w:eastAsia="bg-BG"/>
        </w:rPr>
        <w:t>НУ“Св.П.Хилендарски“</w:t>
      </w:r>
      <w:r w:rsidR="002B71AE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за координатор е определен </w:t>
      </w:r>
      <w:r w:rsidR="001F5883">
        <w:rPr>
          <w:rFonts w:ascii="Times New Roman" w:hAnsi="Times New Roman" w:cs="Times New Roman"/>
          <w:sz w:val="24"/>
          <w:szCs w:val="24"/>
          <w:lang w:eastAsia="bg-BG"/>
        </w:rPr>
        <w:t xml:space="preserve">екип от 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>педагогиче</w:t>
      </w:r>
      <w:r w:rsidR="001F5883">
        <w:rPr>
          <w:rFonts w:ascii="Times New Roman" w:hAnsi="Times New Roman" w:cs="Times New Roman"/>
          <w:sz w:val="24"/>
          <w:szCs w:val="24"/>
          <w:lang w:eastAsia="bg-BG"/>
        </w:rPr>
        <w:t>ски специалисти, ресурсен учител, логопед и психолог, кои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>то изпълнява</w:t>
      </w:r>
      <w:r w:rsidR="001F5883">
        <w:rPr>
          <w:rFonts w:ascii="Times New Roman" w:hAnsi="Times New Roman" w:cs="Times New Roman"/>
          <w:sz w:val="24"/>
          <w:szCs w:val="24"/>
          <w:lang w:eastAsia="bg-BG"/>
        </w:rPr>
        <w:t>т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 функциите си съобразно Наредба</w:t>
      </w:r>
      <w:r w:rsidR="002B71AE">
        <w:rPr>
          <w:rFonts w:ascii="Times New Roman" w:hAnsi="Times New Roman" w:cs="Times New Roman"/>
          <w:sz w:val="24"/>
          <w:szCs w:val="24"/>
          <w:lang w:eastAsia="bg-BG"/>
        </w:rPr>
        <w:t>та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 за приобщаващото образование.</w:t>
      </w:r>
    </w:p>
    <w:p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lastRenderedPageBreak/>
        <w:t xml:space="preserve">Общата подкрепа в </w:t>
      </w:r>
      <w:r w:rsidR="001F5883">
        <w:rPr>
          <w:rFonts w:ascii="Times New Roman" w:hAnsi="Times New Roman" w:cs="Times New Roman"/>
          <w:sz w:val="24"/>
          <w:szCs w:val="24"/>
          <w:lang w:eastAsia="bg-BG"/>
        </w:rPr>
        <w:t>НУ“Св.П.Хилендарски“</w:t>
      </w:r>
      <w:r w:rsidR="002B71AE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>се осъществява от е</w:t>
      </w:r>
      <w:r w:rsidR="001F5883">
        <w:rPr>
          <w:rFonts w:ascii="Times New Roman" w:hAnsi="Times New Roman" w:cs="Times New Roman"/>
          <w:sz w:val="24"/>
          <w:szCs w:val="24"/>
          <w:lang w:eastAsia="bg-BG"/>
        </w:rPr>
        <w:t>кип, ръководен от координатор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. Общата подкрепа е насочена към развитие на потенциала на всяко дете и ученик.  Общата подкрепа включва </w:t>
      </w:r>
      <w:r w:rsidR="002B71AE">
        <w:rPr>
          <w:rFonts w:ascii="Times New Roman" w:hAnsi="Times New Roman" w:cs="Times New Roman"/>
          <w:sz w:val="24"/>
          <w:szCs w:val="24"/>
          <w:lang w:eastAsia="bg-BG"/>
        </w:rPr>
        <w:t xml:space="preserve">също така 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>различна екипна работа и между отделните специалисти и осигуряване или насо</w:t>
      </w:r>
      <w:r w:rsidR="00B43ACB">
        <w:rPr>
          <w:rFonts w:ascii="Times New Roman" w:hAnsi="Times New Roman" w:cs="Times New Roman"/>
          <w:sz w:val="24"/>
          <w:szCs w:val="24"/>
          <w:lang w:eastAsia="bg-BG"/>
        </w:rPr>
        <w:t>чване към занимания по интереси и допълнителни модули по БЕЛ.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 Заниманията по интереси могат да се организират от </w:t>
      </w:r>
      <w:r w:rsidR="001F5883">
        <w:rPr>
          <w:rFonts w:ascii="Times New Roman" w:hAnsi="Times New Roman" w:cs="Times New Roman"/>
          <w:sz w:val="24"/>
          <w:szCs w:val="24"/>
          <w:lang w:eastAsia="bg-BG"/>
        </w:rPr>
        <w:t>НУ“Св.П.Хилендарски“</w:t>
      </w:r>
      <w:r w:rsidR="002B71AE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или от други центрове за личностно развитие. </w:t>
      </w:r>
    </w:p>
    <w:p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Описаните в ПУД морални и материални награди също са част от предоставяната от </w:t>
      </w:r>
      <w:r w:rsidR="001F5883">
        <w:rPr>
          <w:rFonts w:ascii="Times New Roman" w:hAnsi="Times New Roman" w:cs="Times New Roman"/>
          <w:sz w:val="24"/>
          <w:szCs w:val="24"/>
          <w:lang w:eastAsia="bg-BG"/>
        </w:rPr>
        <w:t>НУ“Св.П.Хилендарски“</w:t>
      </w:r>
      <w:r w:rsidR="00D51818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обща подкрепа. </w:t>
      </w:r>
    </w:p>
    <w:p w:rsid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>Общата подкрепа включва и други дейности, подробно описани в Наредба</w:t>
      </w:r>
      <w:r w:rsidR="00D51818">
        <w:rPr>
          <w:rFonts w:ascii="Times New Roman" w:hAnsi="Times New Roman" w:cs="Times New Roman"/>
          <w:sz w:val="24"/>
          <w:szCs w:val="24"/>
          <w:lang w:eastAsia="bg-BG"/>
        </w:rPr>
        <w:t>та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 за приобщаващото образование</w:t>
      </w:r>
      <w:r w:rsidR="00B43ACB">
        <w:rPr>
          <w:rFonts w:ascii="Times New Roman" w:hAnsi="Times New Roman" w:cs="Times New Roman"/>
          <w:sz w:val="24"/>
          <w:szCs w:val="24"/>
          <w:lang w:eastAsia="bg-BG"/>
        </w:rPr>
        <w:t>, Наредба за финансиране на образователните институции и  постановление на МС за разпределяне на средствата за уязвими групи.</w:t>
      </w:r>
    </w:p>
    <w:p w:rsidR="00B43ACB" w:rsidRPr="00F458FF" w:rsidRDefault="00B43ACB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F458FF" w:rsidRPr="00F458FF" w:rsidRDefault="00F458FF" w:rsidP="00F458FF">
      <w:pPr>
        <w:jc w:val="both"/>
        <w:rPr>
          <w:rFonts w:ascii="Times New Roman" w:hAnsi="Times New Roman" w:cs="Times New Roman"/>
          <w:b/>
          <w:i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b/>
          <w:i/>
          <w:sz w:val="24"/>
          <w:szCs w:val="24"/>
          <w:lang w:eastAsia="bg-BG"/>
        </w:rPr>
        <w:t xml:space="preserve">2.2. Допълнителна подкрепа </w:t>
      </w:r>
    </w:p>
    <w:p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Допълнителната подкрепа се осъществява въз основа на направена оценка на индивидуалните способности на определено дете или ученик от </w:t>
      </w:r>
      <w:r w:rsidR="001F5883">
        <w:rPr>
          <w:rFonts w:ascii="Times New Roman" w:hAnsi="Times New Roman" w:cs="Times New Roman"/>
          <w:sz w:val="24"/>
          <w:szCs w:val="24"/>
          <w:lang w:eastAsia="bg-BG"/>
        </w:rPr>
        <w:t>НУ“Св.П.Хилендарски“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. Оценката на способностите се извършва от специално назначен екип от специалисти съобразно необходимостта на детето и след това се потвърждава от </w:t>
      </w:r>
      <w:r w:rsidR="006F6141">
        <w:rPr>
          <w:rFonts w:ascii="Times New Roman" w:hAnsi="Times New Roman" w:cs="Times New Roman"/>
          <w:sz w:val="24"/>
          <w:szCs w:val="24"/>
          <w:lang w:eastAsia="bg-BG"/>
        </w:rPr>
        <w:t>р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>егионалн</w:t>
      </w:r>
      <w:r w:rsidR="006F6141">
        <w:rPr>
          <w:rFonts w:ascii="Times New Roman" w:hAnsi="Times New Roman" w:cs="Times New Roman"/>
          <w:sz w:val="24"/>
          <w:szCs w:val="24"/>
          <w:lang w:eastAsia="bg-BG"/>
        </w:rPr>
        <w:t>ия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 център за подкрепа на приобщаващото образование.</w:t>
      </w:r>
    </w:p>
    <w:p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>Учениците</w:t>
      </w:r>
      <w:r w:rsidR="006F6141">
        <w:rPr>
          <w:rFonts w:ascii="Times New Roman" w:hAnsi="Times New Roman" w:cs="Times New Roman"/>
          <w:sz w:val="24"/>
          <w:szCs w:val="24"/>
          <w:lang w:eastAsia="bg-BG"/>
        </w:rPr>
        <w:t>,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 за които може да се поиска оценка на способностите</w:t>
      </w:r>
      <w:r w:rsidR="006F6141">
        <w:rPr>
          <w:rFonts w:ascii="Times New Roman" w:hAnsi="Times New Roman" w:cs="Times New Roman"/>
          <w:sz w:val="24"/>
          <w:szCs w:val="24"/>
          <w:lang w:eastAsia="bg-BG"/>
        </w:rPr>
        <w:t>,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 са от следните уязвими групи:</w:t>
      </w:r>
    </w:p>
    <w:p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-деца със специални образователни потребности – в началото на учебната година </w:t>
      </w:r>
    </w:p>
    <w:p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>- деца с хронични заболявания</w:t>
      </w:r>
    </w:p>
    <w:p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>- деца в риск</w:t>
      </w:r>
    </w:p>
    <w:p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Допълнителната подкрепа включва: </w:t>
      </w:r>
    </w:p>
    <w:p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>- работа с дете или ученик по конкретен случай</w:t>
      </w:r>
    </w:p>
    <w:p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- психо-социална рехабилитация </w:t>
      </w:r>
    </w:p>
    <w:p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-рехабилитация на слуха </w:t>
      </w:r>
    </w:p>
    <w:p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-зрителна рехабилитация </w:t>
      </w:r>
    </w:p>
    <w:p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-рехабилитация на комуникативни нарушения </w:t>
      </w:r>
    </w:p>
    <w:p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-осигуряване на достъпна архитектурна среда </w:t>
      </w:r>
    </w:p>
    <w:p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-специализирани средства </w:t>
      </w:r>
    </w:p>
    <w:p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>-ресурсно подпомагане</w:t>
      </w:r>
      <w:r w:rsidR="006F6141">
        <w:rPr>
          <w:rFonts w:ascii="Times New Roman" w:hAnsi="Times New Roman" w:cs="Times New Roman"/>
          <w:sz w:val="24"/>
          <w:szCs w:val="24"/>
          <w:lang w:eastAsia="bg-BG"/>
        </w:rPr>
        <w:t>.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</w:p>
    <w:p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>Допълнителната подкрепа се реализира чрез план за действие за всяко конкретно дете. Родителите задължително се включват в плана за действие като активни участници в дейностите.</w:t>
      </w:r>
    </w:p>
    <w:p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lastRenderedPageBreak/>
        <w:t xml:space="preserve">Ако </w:t>
      </w:r>
      <w:r w:rsidR="006F6141">
        <w:rPr>
          <w:rFonts w:ascii="Times New Roman" w:hAnsi="Times New Roman" w:cs="Times New Roman"/>
          <w:sz w:val="24"/>
          <w:szCs w:val="24"/>
          <w:lang w:eastAsia="bg-BG"/>
        </w:rPr>
        <w:t>р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егионалният център препоръча допълнителна подкрепа, но родителите откажат, </w:t>
      </w:r>
      <w:r w:rsidR="001F5883">
        <w:rPr>
          <w:rFonts w:ascii="Times New Roman" w:hAnsi="Times New Roman" w:cs="Times New Roman"/>
          <w:sz w:val="24"/>
          <w:szCs w:val="24"/>
          <w:lang w:eastAsia="bg-BG"/>
        </w:rPr>
        <w:t>НУ“св.П.Хилендарски“</w:t>
      </w:r>
      <w:r w:rsidR="006F6141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>уведомява отдел „Закрила на детето“ към ДСП по местоживеене на детето с цел социалните служби да окажат съдействие и ако се налага</w:t>
      </w:r>
      <w:r w:rsidR="006F6141">
        <w:rPr>
          <w:rFonts w:ascii="Times New Roman" w:hAnsi="Times New Roman" w:cs="Times New Roman"/>
          <w:sz w:val="24"/>
          <w:szCs w:val="24"/>
          <w:lang w:eastAsia="bg-BG"/>
        </w:rPr>
        <w:t>,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 помощ на родителите за осъзнаване на нуждите на детето.</w:t>
      </w:r>
    </w:p>
    <w:p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631EEA">
        <w:rPr>
          <w:rFonts w:ascii="Times New Roman" w:hAnsi="Times New Roman" w:cs="Times New Roman"/>
          <w:sz w:val="24"/>
          <w:szCs w:val="24"/>
          <w:lang w:eastAsia="bg-BG"/>
        </w:rPr>
        <w:t>При наличие на три и повече деца/ученици в паралелка</w:t>
      </w:r>
      <w:r w:rsidR="00631EEA">
        <w:rPr>
          <w:rFonts w:ascii="Times New Roman" w:hAnsi="Times New Roman" w:cs="Times New Roman"/>
          <w:sz w:val="24"/>
          <w:szCs w:val="24"/>
          <w:lang w:eastAsia="bg-BG"/>
        </w:rPr>
        <w:t>, нуждаещи се от допълнитерлна подкрепа,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 се осигурява помощник-учител за подпомагане работата на учителите. Задълженията на помощник-учителите са разписани в Наредба</w:t>
      </w:r>
      <w:r w:rsidR="006F6141">
        <w:rPr>
          <w:rFonts w:ascii="Times New Roman" w:hAnsi="Times New Roman" w:cs="Times New Roman"/>
          <w:sz w:val="24"/>
          <w:szCs w:val="24"/>
          <w:lang w:eastAsia="bg-BG"/>
        </w:rPr>
        <w:t xml:space="preserve">та 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>за приобщаващо образование.</w:t>
      </w:r>
    </w:p>
    <w:p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>При необходимост се изработва индивидуална учебна програма по съответните учебни предмети с цел по-лесното възприемане от ученика, а също така се изготвя и индивидуален учебен план или учебен план за обучение в комбинирана форма на обучение. За ученици с изявени дарби също се изработва индивидуален учебен план.</w:t>
      </w:r>
    </w:p>
    <w:p w:rsidR="00F458FF" w:rsidRPr="00F458FF" w:rsidRDefault="00F458FF" w:rsidP="00F458FF">
      <w:pPr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b/>
          <w:sz w:val="24"/>
          <w:szCs w:val="24"/>
          <w:lang w:val="en-US" w:eastAsia="bg-BG"/>
        </w:rPr>
        <w:t>III</w:t>
      </w:r>
      <w:r w:rsidRPr="00F458FF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. ПЛАН ЗА ДЕЙСТВИЕ ПО ПРОГРАМАТА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F458FF" w:rsidRPr="00F458FF" w:rsidTr="003316B2"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b/>
                <w:sz w:val="24"/>
                <w:szCs w:val="24"/>
                <w:lang w:eastAsia="bg-BG"/>
              </w:rPr>
            </w:pPr>
            <w:r w:rsidRPr="00F458FF">
              <w:rPr>
                <w:b/>
                <w:sz w:val="24"/>
                <w:szCs w:val="24"/>
                <w:lang w:eastAsia="bg-BG"/>
              </w:rPr>
              <w:t xml:space="preserve">Дейности </w:t>
            </w:r>
          </w:p>
        </w:tc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b/>
                <w:sz w:val="24"/>
                <w:szCs w:val="24"/>
                <w:lang w:eastAsia="bg-BG"/>
              </w:rPr>
            </w:pPr>
            <w:r w:rsidRPr="00F458FF">
              <w:rPr>
                <w:b/>
                <w:sz w:val="24"/>
                <w:szCs w:val="24"/>
                <w:lang w:eastAsia="bg-BG"/>
              </w:rPr>
              <w:t xml:space="preserve">Срок </w:t>
            </w:r>
          </w:p>
        </w:tc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b/>
                <w:sz w:val="24"/>
                <w:szCs w:val="24"/>
                <w:lang w:eastAsia="bg-BG"/>
              </w:rPr>
            </w:pPr>
            <w:r w:rsidRPr="00F458FF">
              <w:rPr>
                <w:b/>
                <w:sz w:val="24"/>
                <w:szCs w:val="24"/>
                <w:lang w:eastAsia="bg-BG"/>
              </w:rPr>
              <w:t>Отговорник</w:t>
            </w:r>
          </w:p>
        </w:tc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b/>
                <w:sz w:val="24"/>
                <w:szCs w:val="24"/>
                <w:lang w:eastAsia="bg-BG"/>
              </w:rPr>
            </w:pPr>
            <w:r w:rsidRPr="00F458FF">
              <w:rPr>
                <w:b/>
                <w:sz w:val="24"/>
                <w:szCs w:val="24"/>
                <w:lang w:eastAsia="bg-BG"/>
              </w:rPr>
              <w:t xml:space="preserve">Забележка </w:t>
            </w:r>
          </w:p>
        </w:tc>
      </w:tr>
      <w:tr w:rsidR="00F458FF" w:rsidRPr="00F458FF" w:rsidTr="003316B2"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 xml:space="preserve">Идентифициране на ученици, които имат необходимост от обща подкрепа </w:t>
            </w:r>
          </w:p>
        </w:tc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 xml:space="preserve">постоянен </w:t>
            </w:r>
          </w:p>
        </w:tc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педагогически съветник,</w:t>
            </w:r>
            <w:r w:rsidR="00C425AD">
              <w:rPr>
                <w:sz w:val="24"/>
                <w:szCs w:val="24"/>
                <w:lang w:eastAsia="bg-BG"/>
              </w:rPr>
              <w:t xml:space="preserve"> </w:t>
            </w:r>
            <w:r w:rsidRPr="00F458FF">
              <w:rPr>
                <w:sz w:val="24"/>
                <w:szCs w:val="24"/>
                <w:lang w:eastAsia="bg-BG"/>
              </w:rPr>
              <w:t xml:space="preserve">психолог, логопед </w:t>
            </w:r>
          </w:p>
        </w:tc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</w:p>
        </w:tc>
      </w:tr>
      <w:tr w:rsidR="00F458FF" w:rsidRPr="00F458FF" w:rsidTr="003316B2"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 xml:space="preserve">Екипна работа на учителите от даден клас </w:t>
            </w:r>
          </w:p>
        </w:tc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 xml:space="preserve">постоянен </w:t>
            </w:r>
          </w:p>
        </w:tc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класни ръководител</w:t>
            </w:r>
            <w:r w:rsidR="00C425AD">
              <w:rPr>
                <w:sz w:val="24"/>
                <w:szCs w:val="24"/>
                <w:lang w:eastAsia="bg-BG"/>
              </w:rPr>
              <w:t>и</w:t>
            </w:r>
            <w:r w:rsidRPr="00F458FF">
              <w:rPr>
                <w:sz w:val="24"/>
                <w:szCs w:val="24"/>
                <w:lang w:eastAsia="bg-BG"/>
              </w:rPr>
              <w:t xml:space="preserve">, учители </w:t>
            </w:r>
          </w:p>
        </w:tc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при необходимост</w:t>
            </w:r>
          </w:p>
        </w:tc>
      </w:tr>
      <w:tr w:rsidR="00F458FF" w:rsidRPr="00F458FF" w:rsidTr="003316B2"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 xml:space="preserve">Определяне на координатор на екипа за оказване на подкрепа </w:t>
            </w:r>
          </w:p>
        </w:tc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до 01.10.</w:t>
            </w:r>
          </w:p>
        </w:tc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директор</w:t>
            </w:r>
          </w:p>
        </w:tc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</w:p>
        </w:tc>
      </w:tr>
      <w:tr w:rsidR="00F458FF" w:rsidRPr="00F458FF" w:rsidTr="003316B2"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 xml:space="preserve">Награждаване на ученици </w:t>
            </w:r>
          </w:p>
        </w:tc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текущ</w:t>
            </w:r>
          </w:p>
        </w:tc>
        <w:tc>
          <w:tcPr>
            <w:tcW w:w="2322" w:type="dxa"/>
          </w:tcPr>
          <w:p w:rsidR="00F458FF" w:rsidRPr="00F458FF" w:rsidRDefault="001F5883" w:rsidP="001F5883">
            <w:pPr>
              <w:jc w:val="both"/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директор</w:t>
            </w:r>
          </w:p>
        </w:tc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при и по определен повод за поощрение</w:t>
            </w:r>
          </w:p>
        </w:tc>
      </w:tr>
      <w:tr w:rsidR="00F458FF" w:rsidRPr="00F458FF" w:rsidTr="003316B2"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Дейности на училищната библиотека, свързани с четивна грамотност</w:t>
            </w:r>
          </w:p>
        </w:tc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01.11, 01.04</w:t>
            </w:r>
          </w:p>
        </w:tc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завеждащ библиотека, библиотекар</w:t>
            </w:r>
          </w:p>
        </w:tc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да се направи по повод Деня на книгата</w:t>
            </w:r>
          </w:p>
        </w:tc>
      </w:tr>
      <w:tr w:rsidR="00F458FF" w:rsidRPr="00F458FF" w:rsidTr="003316B2"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 xml:space="preserve">Представяне на дейности по интереси в училището </w:t>
            </w:r>
          </w:p>
        </w:tc>
        <w:tc>
          <w:tcPr>
            <w:tcW w:w="2322" w:type="dxa"/>
          </w:tcPr>
          <w:p w:rsidR="00F458FF" w:rsidRPr="00F458FF" w:rsidRDefault="00B43ACB" w:rsidP="003316B2">
            <w:pPr>
              <w:jc w:val="both"/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30</w:t>
            </w:r>
            <w:r w:rsidR="00F458FF" w:rsidRPr="00F458FF">
              <w:rPr>
                <w:sz w:val="24"/>
                <w:szCs w:val="24"/>
                <w:lang w:eastAsia="bg-BG"/>
              </w:rPr>
              <w:t>.09</w:t>
            </w:r>
          </w:p>
        </w:tc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учители в ПИГ</w:t>
            </w:r>
          </w:p>
        </w:tc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</w:p>
        </w:tc>
      </w:tr>
      <w:tr w:rsidR="00B43ACB" w:rsidRPr="00F458FF" w:rsidTr="003316B2">
        <w:tc>
          <w:tcPr>
            <w:tcW w:w="2322" w:type="dxa"/>
          </w:tcPr>
          <w:p w:rsidR="00B43ACB" w:rsidRPr="00F458FF" w:rsidRDefault="00B43ACB" w:rsidP="003316B2">
            <w:pPr>
              <w:jc w:val="both"/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Представяне на планове за допълнителни модули по БЕЛ.</w:t>
            </w:r>
          </w:p>
        </w:tc>
        <w:tc>
          <w:tcPr>
            <w:tcW w:w="2322" w:type="dxa"/>
          </w:tcPr>
          <w:p w:rsidR="00B43ACB" w:rsidRDefault="00B43ACB" w:rsidP="003316B2">
            <w:pPr>
              <w:jc w:val="both"/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01.10</w:t>
            </w:r>
          </w:p>
        </w:tc>
        <w:tc>
          <w:tcPr>
            <w:tcW w:w="2322" w:type="dxa"/>
          </w:tcPr>
          <w:p w:rsidR="00B43ACB" w:rsidRPr="00F458FF" w:rsidRDefault="00B43ACB" w:rsidP="003316B2">
            <w:pPr>
              <w:jc w:val="both"/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Класни ръководители</w:t>
            </w:r>
          </w:p>
        </w:tc>
        <w:tc>
          <w:tcPr>
            <w:tcW w:w="2322" w:type="dxa"/>
          </w:tcPr>
          <w:p w:rsidR="00B43ACB" w:rsidRPr="00F458FF" w:rsidRDefault="00B43ACB" w:rsidP="003316B2">
            <w:pPr>
              <w:jc w:val="both"/>
              <w:rPr>
                <w:sz w:val="24"/>
                <w:szCs w:val="24"/>
                <w:lang w:eastAsia="bg-BG"/>
              </w:rPr>
            </w:pPr>
          </w:p>
        </w:tc>
      </w:tr>
      <w:tr w:rsidR="00F458FF" w:rsidRPr="00F458FF" w:rsidTr="003316B2"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Идентифициране на ученици със СОП</w:t>
            </w:r>
          </w:p>
        </w:tc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 xml:space="preserve">целогодишно </w:t>
            </w:r>
          </w:p>
        </w:tc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класни ръководител</w:t>
            </w:r>
            <w:r w:rsidR="00C425AD">
              <w:rPr>
                <w:sz w:val="24"/>
                <w:szCs w:val="24"/>
                <w:lang w:eastAsia="bg-BG"/>
              </w:rPr>
              <w:t>и</w:t>
            </w:r>
            <w:r w:rsidRPr="00F458FF">
              <w:rPr>
                <w:sz w:val="24"/>
                <w:szCs w:val="24"/>
                <w:lang w:eastAsia="bg-BG"/>
              </w:rPr>
              <w:t>, учители, логопед, ресурсен учител</w:t>
            </w:r>
          </w:p>
        </w:tc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</w:p>
        </w:tc>
      </w:tr>
      <w:tr w:rsidR="00F458FF" w:rsidRPr="00F458FF" w:rsidTr="003316B2"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 xml:space="preserve">Оценка на потребности на </w:t>
            </w:r>
            <w:r w:rsidRPr="00F458FF">
              <w:rPr>
                <w:sz w:val="24"/>
                <w:szCs w:val="24"/>
                <w:lang w:eastAsia="bg-BG"/>
              </w:rPr>
              <w:lastRenderedPageBreak/>
              <w:t xml:space="preserve">ученици със СОП </w:t>
            </w:r>
          </w:p>
        </w:tc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lastRenderedPageBreak/>
              <w:t xml:space="preserve">целогодишно </w:t>
            </w:r>
          </w:p>
        </w:tc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 xml:space="preserve">ресурсни учител и екип </w:t>
            </w:r>
          </w:p>
        </w:tc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 xml:space="preserve">не по-късно от 3 месеца след </w:t>
            </w:r>
            <w:r w:rsidRPr="00F458FF">
              <w:rPr>
                <w:sz w:val="24"/>
                <w:szCs w:val="24"/>
                <w:lang w:eastAsia="bg-BG"/>
              </w:rPr>
              <w:lastRenderedPageBreak/>
              <w:t>идентифициране на нуждата</w:t>
            </w:r>
          </w:p>
        </w:tc>
      </w:tr>
      <w:tr w:rsidR="00F458FF" w:rsidRPr="00F458FF" w:rsidTr="003316B2"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lastRenderedPageBreak/>
              <w:t>Логопедична терапия, рехабилитация и консултации</w:t>
            </w:r>
          </w:p>
        </w:tc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 xml:space="preserve">целогодишно </w:t>
            </w:r>
          </w:p>
        </w:tc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логопед</w:t>
            </w:r>
          </w:p>
        </w:tc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</w:p>
        </w:tc>
      </w:tr>
      <w:tr w:rsidR="00F458FF" w:rsidRPr="00F458FF" w:rsidTr="003316B2"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Психологическа подкрепа, психо-социална рехабилитация и консултации</w:t>
            </w:r>
          </w:p>
        </w:tc>
        <w:tc>
          <w:tcPr>
            <w:tcW w:w="2322" w:type="dxa"/>
          </w:tcPr>
          <w:p w:rsidR="00F458FF" w:rsidRPr="00F458FF" w:rsidRDefault="00F458FF" w:rsidP="00C425AD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целогоди</w:t>
            </w:r>
            <w:r w:rsidR="00C425AD">
              <w:rPr>
                <w:sz w:val="24"/>
                <w:szCs w:val="24"/>
                <w:lang w:eastAsia="bg-BG"/>
              </w:rPr>
              <w:t>ш</w:t>
            </w:r>
            <w:r w:rsidRPr="00F458FF">
              <w:rPr>
                <w:sz w:val="24"/>
                <w:szCs w:val="24"/>
                <w:lang w:eastAsia="bg-BG"/>
              </w:rPr>
              <w:t xml:space="preserve">но </w:t>
            </w:r>
          </w:p>
        </w:tc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педагогически съветник/психолог</w:t>
            </w:r>
          </w:p>
        </w:tc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</w:p>
        </w:tc>
      </w:tr>
      <w:tr w:rsidR="00F458FF" w:rsidRPr="00F458FF" w:rsidTr="003316B2"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 xml:space="preserve">Превантивни мерки за недопускане отпадане от училище </w:t>
            </w:r>
          </w:p>
        </w:tc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целогодишно</w:t>
            </w:r>
          </w:p>
        </w:tc>
        <w:tc>
          <w:tcPr>
            <w:tcW w:w="2322" w:type="dxa"/>
          </w:tcPr>
          <w:p w:rsidR="00F458FF" w:rsidRPr="00F458FF" w:rsidRDefault="001F5883" w:rsidP="003316B2">
            <w:pPr>
              <w:jc w:val="both"/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Директор,</w:t>
            </w:r>
            <w:r w:rsidR="00F458FF" w:rsidRPr="00F458FF">
              <w:rPr>
                <w:sz w:val="24"/>
                <w:szCs w:val="24"/>
                <w:lang w:eastAsia="bg-BG"/>
              </w:rPr>
              <w:t xml:space="preserve">учители, психолог, </w:t>
            </w:r>
          </w:p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пед. съветник</w:t>
            </w:r>
          </w:p>
        </w:tc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</w:p>
        </w:tc>
      </w:tr>
      <w:tr w:rsidR="00F458FF" w:rsidRPr="00F458FF" w:rsidTr="003316B2">
        <w:tc>
          <w:tcPr>
            <w:tcW w:w="2322" w:type="dxa"/>
          </w:tcPr>
          <w:p w:rsidR="00F458FF" w:rsidRPr="00F458FF" w:rsidRDefault="00F458FF" w:rsidP="00C425AD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Организиране и провеждане на</w:t>
            </w:r>
            <w:r w:rsidR="00C425AD">
              <w:rPr>
                <w:sz w:val="24"/>
                <w:szCs w:val="24"/>
                <w:lang w:eastAsia="bg-BG"/>
              </w:rPr>
              <w:t xml:space="preserve"> у</w:t>
            </w:r>
            <w:r w:rsidRPr="00F458FF">
              <w:rPr>
                <w:sz w:val="24"/>
                <w:szCs w:val="24"/>
                <w:lang w:eastAsia="bg-BG"/>
              </w:rPr>
              <w:t xml:space="preserve">чилище за родители </w:t>
            </w:r>
          </w:p>
        </w:tc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01.03.</w:t>
            </w:r>
          </w:p>
        </w:tc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 xml:space="preserve">психолог </w:t>
            </w:r>
          </w:p>
        </w:tc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при желание от родителите</w:t>
            </w:r>
          </w:p>
        </w:tc>
      </w:tr>
      <w:tr w:rsidR="00F458FF" w:rsidRPr="00F458FF" w:rsidTr="003316B2"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 xml:space="preserve">Стимулиране участието на деца с изявени дарби в състезания и олимпиади </w:t>
            </w:r>
          </w:p>
        </w:tc>
        <w:tc>
          <w:tcPr>
            <w:tcW w:w="2322" w:type="dxa"/>
          </w:tcPr>
          <w:p w:rsidR="00F458FF" w:rsidRPr="00F458FF" w:rsidRDefault="00F458FF" w:rsidP="00C425AD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целогодишно</w:t>
            </w:r>
          </w:p>
        </w:tc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учители</w:t>
            </w:r>
          </w:p>
        </w:tc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</w:p>
        </w:tc>
      </w:tr>
      <w:tr w:rsidR="00F458FF" w:rsidRPr="00F458FF" w:rsidTr="003316B2">
        <w:tc>
          <w:tcPr>
            <w:tcW w:w="2322" w:type="dxa"/>
          </w:tcPr>
          <w:p w:rsidR="00F458FF" w:rsidRPr="00F458FF" w:rsidRDefault="00F458FF" w:rsidP="00C425AD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Стимулиране участието на деца и учениц</w:t>
            </w:r>
            <w:r w:rsidR="00C425AD">
              <w:rPr>
                <w:sz w:val="24"/>
                <w:szCs w:val="24"/>
                <w:lang w:eastAsia="bg-BG"/>
              </w:rPr>
              <w:t>и</w:t>
            </w:r>
            <w:r w:rsidRPr="00F458FF">
              <w:rPr>
                <w:sz w:val="24"/>
                <w:szCs w:val="24"/>
                <w:lang w:eastAsia="bg-BG"/>
              </w:rPr>
              <w:t xml:space="preserve"> от различни етнически групи в състезания и олимпиади</w:t>
            </w:r>
          </w:p>
        </w:tc>
        <w:tc>
          <w:tcPr>
            <w:tcW w:w="2322" w:type="dxa"/>
          </w:tcPr>
          <w:p w:rsidR="00F458FF" w:rsidRPr="00F458FF" w:rsidRDefault="00F458FF" w:rsidP="00C425AD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целогодишно</w:t>
            </w:r>
          </w:p>
        </w:tc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учители</w:t>
            </w:r>
          </w:p>
        </w:tc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</w:p>
        </w:tc>
      </w:tr>
      <w:tr w:rsidR="00F458FF" w:rsidRPr="00F458FF" w:rsidTr="003316B2"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Съвместни дейности с МКБППМН</w:t>
            </w:r>
          </w:p>
        </w:tc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целогодишно, по график</w:t>
            </w:r>
          </w:p>
        </w:tc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УКБППУ, директор, районна адиминстрация</w:t>
            </w:r>
          </w:p>
        </w:tc>
        <w:tc>
          <w:tcPr>
            <w:tcW w:w="2322" w:type="dxa"/>
          </w:tcPr>
          <w:p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</w:p>
        </w:tc>
      </w:tr>
    </w:tbl>
    <w:p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F458FF" w:rsidRPr="00F458FF" w:rsidRDefault="00F458FF" w:rsidP="00F458FF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 w:eastAsia="bg-BG"/>
        </w:rPr>
      </w:pPr>
      <w:bookmarkStart w:id="6" w:name="_Toc456958971"/>
      <w:bookmarkStart w:id="7" w:name="_Toc456959689"/>
      <w:bookmarkStart w:id="8" w:name="_Toc458068668"/>
      <w:bookmarkStart w:id="9" w:name="_Toc458159025"/>
      <w:r w:rsidRPr="00F458FF">
        <w:rPr>
          <w:rFonts w:ascii="Times New Roman" w:hAnsi="Times New Roman" w:cs="Times New Roman"/>
          <w:b/>
          <w:sz w:val="24"/>
          <w:szCs w:val="24"/>
          <w:lang w:val="ru-RU" w:eastAsia="bg-BG"/>
        </w:rPr>
        <w:t>V. ЗАКЛЮЧЕНИЕ</w:t>
      </w:r>
      <w:bookmarkEnd w:id="6"/>
      <w:bookmarkEnd w:id="7"/>
      <w:bookmarkEnd w:id="8"/>
      <w:bookmarkEnd w:id="9"/>
    </w:p>
    <w:p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За изпълнението на </w:t>
      </w:r>
      <w:r w:rsidR="00C425AD">
        <w:rPr>
          <w:rFonts w:ascii="Times New Roman" w:hAnsi="Times New Roman" w:cs="Times New Roman"/>
          <w:sz w:val="24"/>
          <w:szCs w:val="24"/>
          <w:lang w:val="ru-RU" w:eastAsia="bg-BG"/>
        </w:rPr>
        <w:t>п</w:t>
      </w:r>
      <w:r w:rsidRPr="00F458FF">
        <w:rPr>
          <w:rFonts w:ascii="Times New Roman" w:hAnsi="Times New Roman" w:cs="Times New Roman"/>
          <w:sz w:val="24"/>
          <w:szCs w:val="24"/>
          <w:lang w:val="ru-RU" w:eastAsia="bg-BG"/>
        </w:rPr>
        <w:t>рограмата важно значение има сътрудничеството между всички пряко ангажирани. Всички участници в образователния процес (семейство, детска градина, училище, институции, НПО) трябва да бъдат еднакво отговорни и ангажирани за постигането на поставените цели.</w:t>
      </w:r>
    </w:p>
    <w:bookmarkEnd w:id="2"/>
    <w:bookmarkEnd w:id="3"/>
    <w:bookmarkEnd w:id="4"/>
    <w:bookmarkEnd w:id="5"/>
    <w:p w:rsidR="00B46540" w:rsidRDefault="00B46540" w:rsidP="00B4654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46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C24888"/>
    <w:multiLevelType w:val="hybridMultilevel"/>
    <w:tmpl w:val="91585E84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5E078E"/>
    <w:multiLevelType w:val="multilevel"/>
    <w:tmpl w:val="3B522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>
    <w:nsid w:val="126B35DF"/>
    <w:multiLevelType w:val="hybridMultilevel"/>
    <w:tmpl w:val="EDCE7F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AF483B"/>
    <w:multiLevelType w:val="hybridMultilevel"/>
    <w:tmpl w:val="6F825128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6427B3"/>
    <w:multiLevelType w:val="hybridMultilevel"/>
    <w:tmpl w:val="BB18214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673E28"/>
    <w:multiLevelType w:val="hybridMultilevel"/>
    <w:tmpl w:val="96629B3E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E0354C"/>
    <w:multiLevelType w:val="hybridMultilevel"/>
    <w:tmpl w:val="2102AD44"/>
    <w:lvl w:ilvl="0" w:tplc="1C72C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60453"/>
    <w:multiLevelType w:val="multilevel"/>
    <w:tmpl w:val="15AE2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D30951"/>
    <w:multiLevelType w:val="hybridMultilevel"/>
    <w:tmpl w:val="795EA090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0D37D1"/>
    <w:multiLevelType w:val="hybridMultilevel"/>
    <w:tmpl w:val="CB086B0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2C029F"/>
    <w:multiLevelType w:val="hybridMultilevel"/>
    <w:tmpl w:val="57DE37EC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83721A"/>
    <w:multiLevelType w:val="hybridMultilevel"/>
    <w:tmpl w:val="5BB6AF32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2920AF"/>
    <w:multiLevelType w:val="hybridMultilevel"/>
    <w:tmpl w:val="3294D082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0A72B5"/>
    <w:multiLevelType w:val="hybridMultilevel"/>
    <w:tmpl w:val="A720F0D6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040B4E"/>
    <w:multiLevelType w:val="hybridMultilevel"/>
    <w:tmpl w:val="BE2893F8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732F18"/>
    <w:multiLevelType w:val="multilevel"/>
    <w:tmpl w:val="500C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E80A4E"/>
    <w:multiLevelType w:val="multilevel"/>
    <w:tmpl w:val="F908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8B0A72"/>
    <w:multiLevelType w:val="hybridMultilevel"/>
    <w:tmpl w:val="94F62606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D87CFE"/>
    <w:multiLevelType w:val="multilevel"/>
    <w:tmpl w:val="DA2C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CB4BD8"/>
    <w:multiLevelType w:val="hybridMultilevel"/>
    <w:tmpl w:val="77661138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B4A9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FB0D5E"/>
    <w:multiLevelType w:val="hybridMultilevel"/>
    <w:tmpl w:val="C24C74C2"/>
    <w:lvl w:ilvl="0" w:tplc="41D26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ABC7316">
      <w:start w:val="1"/>
      <w:numFmt w:val="bullet"/>
      <w:lvlText w:val="-"/>
      <w:lvlJc w:val="left"/>
      <w:pPr>
        <w:tabs>
          <w:tab w:val="num" w:pos="2070"/>
        </w:tabs>
        <w:ind w:left="2070" w:hanging="630"/>
      </w:pPr>
      <w:rPr>
        <w:rFonts w:ascii="Times New Roman" w:eastAsia="Times New Roman" w:hAnsi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0E24CB6"/>
    <w:multiLevelType w:val="hybridMultilevel"/>
    <w:tmpl w:val="13F2700A"/>
    <w:lvl w:ilvl="0" w:tplc="95901AC4">
      <w:start w:val="7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>
    <w:nsid w:val="7FDA25BD"/>
    <w:multiLevelType w:val="hybridMultilevel"/>
    <w:tmpl w:val="63705806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4"/>
  </w:num>
  <w:num w:numId="5">
    <w:abstractNumId w:val="5"/>
  </w:num>
  <w:num w:numId="6">
    <w:abstractNumId w:val="19"/>
  </w:num>
  <w:num w:numId="7">
    <w:abstractNumId w:val="8"/>
  </w:num>
  <w:num w:numId="8">
    <w:abstractNumId w:val="17"/>
  </w:num>
  <w:num w:numId="9">
    <w:abstractNumId w:val="16"/>
  </w:num>
  <w:num w:numId="10">
    <w:abstractNumId w:val="23"/>
  </w:num>
  <w:num w:numId="11">
    <w:abstractNumId w:val="12"/>
  </w:num>
  <w:num w:numId="12">
    <w:abstractNumId w:val="14"/>
  </w:num>
  <w:num w:numId="13">
    <w:abstractNumId w:val="9"/>
  </w:num>
  <w:num w:numId="14">
    <w:abstractNumId w:val="6"/>
  </w:num>
  <w:num w:numId="15">
    <w:abstractNumId w:val="18"/>
  </w:num>
  <w:num w:numId="16">
    <w:abstractNumId w:val="1"/>
  </w:num>
  <w:num w:numId="17">
    <w:abstractNumId w:val="11"/>
  </w:num>
  <w:num w:numId="18">
    <w:abstractNumId w:val="13"/>
  </w:num>
  <w:num w:numId="19">
    <w:abstractNumId w:val="15"/>
  </w:num>
  <w:num w:numId="20">
    <w:abstractNumId w:val="21"/>
  </w:num>
  <w:num w:numId="21">
    <w:abstractNumId w:val="20"/>
  </w:num>
  <w:num w:numId="22">
    <w:abstractNumId w:val="22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E2"/>
    <w:rsid w:val="00183EE2"/>
    <w:rsid w:val="001F5883"/>
    <w:rsid w:val="002B71AE"/>
    <w:rsid w:val="00481B24"/>
    <w:rsid w:val="00622AA5"/>
    <w:rsid w:val="00631EEA"/>
    <w:rsid w:val="006F6141"/>
    <w:rsid w:val="007973C9"/>
    <w:rsid w:val="00953C8A"/>
    <w:rsid w:val="00B43ACB"/>
    <w:rsid w:val="00B46540"/>
    <w:rsid w:val="00B55E9D"/>
    <w:rsid w:val="00B56397"/>
    <w:rsid w:val="00B57FEF"/>
    <w:rsid w:val="00B94E4F"/>
    <w:rsid w:val="00C425AD"/>
    <w:rsid w:val="00C92AA9"/>
    <w:rsid w:val="00CA35B3"/>
    <w:rsid w:val="00D51818"/>
    <w:rsid w:val="00ED17F9"/>
    <w:rsid w:val="00F4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uiPriority w:val="99"/>
    <w:qFormat/>
    <w:rsid w:val="00183EE2"/>
    <w:pPr>
      <w:keepNext/>
      <w:widowControl w:val="0"/>
      <w:numPr>
        <w:ilvl w:val="1"/>
        <w:numId w:val="1"/>
      </w:numPr>
      <w:suppressAutoHyphens/>
      <w:spacing w:before="200" w:after="120" w:line="240" w:lineRule="auto"/>
      <w:outlineLvl w:val="1"/>
    </w:pPr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paragraph" w:styleId="3">
    <w:name w:val="heading 3"/>
    <w:basedOn w:val="a"/>
    <w:next w:val="a0"/>
    <w:link w:val="30"/>
    <w:uiPriority w:val="99"/>
    <w:qFormat/>
    <w:rsid w:val="00183EE2"/>
    <w:pPr>
      <w:keepNext/>
      <w:widowControl w:val="0"/>
      <w:numPr>
        <w:ilvl w:val="2"/>
        <w:numId w:val="1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лавие 2 Знак"/>
    <w:basedOn w:val="a1"/>
    <w:link w:val="2"/>
    <w:uiPriority w:val="99"/>
    <w:rsid w:val="00183EE2"/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character" w:customStyle="1" w:styleId="30">
    <w:name w:val="Заглавие 3 Знак"/>
    <w:basedOn w:val="a1"/>
    <w:link w:val="3"/>
    <w:uiPriority w:val="99"/>
    <w:rsid w:val="00183EE2"/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183E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4">
    <w:name w:val="Основен текст Знак"/>
    <w:basedOn w:val="a1"/>
    <w:link w:val="a0"/>
    <w:uiPriority w:val="99"/>
    <w:semiHidden/>
    <w:rsid w:val="00183EE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Normal (Web)"/>
    <w:basedOn w:val="a"/>
    <w:rsid w:val="00B94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B465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a6">
    <w:name w:val="Strong"/>
    <w:qFormat/>
    <w:rsid w:val="00B46540"/>
    <w:rPr>
      <w:rFonts w:cs="Times New Roman"/>
      <w:b/>
      <w:bCs/>
    </w:rPr>
  </w:style>
  <w:style w:type="table" w:styleId="a7">
    <w:name w:val="Table Grid"/>
    <w:basedOn w:val="a2"/>
    <w:rsid w:val="00F45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1"/>
    <w:link w:val="a8"/>
    <w:uiPriority w:val="99"/>
    <w:semiHidden/>
    <w:rsid w:val="00B43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uiPriority w:val="99"/>
    <w:qFormat/>
    <w:rsid w:val="00183EE2"/>
    <w:pPr>
      <w:keepNext/>
      <w:widowControl w:val="0"/>
      <w:numPr>
        <w:ilvl w:val="1"/>
        <w:numId w:val="1"/>
      </w:numPr>
      <w:suppressAutoHyphens/>
      <w:spacing w:before="200" w:after="120" w:line="240" w:lineRule="auto"/>
      <w:outlineLvl w:val="1"/>
    </w:pPr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paragraph" w:styleId="3">
    <w:name w:val="heading 3"/>
    <w:basedOn w:val="a"/>
    <w:next w:val="a0"/>
    <w:link w:val="30"/>
    <w:uiPriority w:val="99"/>
    <w:qFormat/>
    <w:rsid w:val="00183EE2"/>
    <w:pPr>
      <w:keepNext/>
      <w:widowControl w:val="0"/>
      <w:numPr>
        <w:ilvl w:val="2"/>
        <w:numId w:val="1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лавие 2 Знак"/>
    <w:basedOn w:val="a1"/>
    <w:link w:val="2"/>
    <w:uiPriority w:val="99"/>
    <w:rsid w:val="00183EE2"/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character" w:customStyle="1" w:styleId="30">
    <w:name w:val="Заглавие 3 Знак"/>
    <w:basedOn w:val="a1"/>
    <w:link w:val="3"/>
    <w:uiPriority w:val="99"/>
    <w:rsid w:val="00183EE2"/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183E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4">
    <w:name w:val="Основен текст Знак"/>
    <w:basedOn w:val="a1"/>
    <w:link w:val="a0"/>
    <w:uiPriority w:val="99"/>
    <w:semiHidden/>
    <w:rsid w:val="00183EE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Normal (Web)"/>
    <w:basedOn w:val="a"/>
    <w:rsid w:val="00B94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B465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a6">
    <w:name w:val="Strong"/>
    <w:qFormat/>
    <w:rsid w:val="00B46540"/>
    <w:rPr>
      <w:rFonts w:cs="Times New Roman"/>
      <w:b/>
      <w:bCs/>
    </w:rPr>
  </w:style>
  <w:style w:type="table" w:styleId="a7">
    <w:name w:val="Table Grid"/>
    <w:basedOn w:val="a2"/>
    <w:rsid w:val="00F45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1"/>
    <w:link w:val="a8"/>
    <w:uiPriority w:val="99"/>
    <w:semiHidden/>
    <w:rsid w:val="00B43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1073</Words>
  <Characters>6122</Characters>
  <Application>Microsoft Office Word</Application>
  <DocSecurity>0</DocSecurity>
  <Lines>51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Димитринка Кузманова</dc:creator>
  <cp:lastModifiedBy>work</cp:lastModifiedBy>
  <cp:revision>6</cp:revision>
  <cp:lastPrinted>2018-10-11T08:28:00Z</cp:lastPrinted>
  <dcterms:created xsi:type="dcterms:W3CDTF">2017-04-03T10:08:00Z</dcterms:created>
  <dcterms:modified xsi:type="dcterms:W3CDTF">2018-10-11T08:40:00Z</dcterms:modified>
</cp:coreProperties>
</file>