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D1FE2" w14:textId="77777777" w:rsidR="00FB5FF9" w:rsidRPr="000430E1" w:rsidRDefault="0011178F" w:rsidP="000430E1">
      <w:pPr>
        <w:jc w:val="center"/>
        <w:rPr>
          <w:rFonts w:ascii="Times New Roman" w:hAnsi="Times New Roman" w:cs="Times New Roman"/>
          <w:sz w:val="32"/>
          <w:szCs w:val="32"/>
        </w:rPr>
      </w:pPr>
      <w:r w:rsidRPr="000430E1">
        <w:rPr>
          <w:rFonts w:ascii="Times New Roman" w:hAnsi="Times New Roman" w:cs="Times New Roman"/>
          <w:sz w:val="32"/>
          <w:szCs w:val="32"/>
        </w:rPr>
        <w:t>Алеко Константинов – „До Чикаго и назад” – упражнение</w:t>
      </w:r>
    </w:p>
    <w:p w14:paraId="7622A41C" w14:textId="7629B327" w:rsidR="0011178F" w:rsidRPr="000430E1" w:rsidRDefault="00AB66F4">
      <w:pPr>
        <w:rPr>
          <w:rFonts w:ascii="Times New Roman" w:hAnsi="Times New Roman" w:cs="Times New Roman"/>
          <w:sz w:val="24"/>
          <w:szCs w:val="24"/>
        </w:rPr>
      </w:pPr>
      <w:r>
        <w:rPr>
          <w:rFonts w:ascii="Times New Roman" w:hAnsi="Times New Roman" w:cs="Times New Roman"/>
          <w:sz w:val="24"/>
          <w:szCs w:val="24"/>
        </w:rPr>
        <w:t xml:space="preserve">                   </w:t>
      </w:r>
      <w:r w:rsidR="0011178F" w:rsidRPr="000430E1">
        <w:rPr>
          <w:rFonts w:ascii="Times New Roman" w:hAnsi="Times New Roman" w:cs="Times New Roman"/>
          <w:sz w:val="24"/>
          <w:szCs w:val="24"/>
        </w:rPr>
        <w:t xml:space="preserve"> Проверка на домашната работа</w:t>
      </w:r>
      <w:r>
        <w:rPr>
          <w:rFonts w:ascii="Times New Roman" w:hAnsi="Times New Roman" w:cs="Times New Roman"/>
          <w:sz w:val="24"/>
          <w:szCs w:val="24"/>
        </w:rPr>
        <w:t xml:space="preserve"> </w:t>
      </w:r>
    </w:p>
    <w:tbl>
      <w:tblPr>
        <w:tblStyle w:val="TableGrid"/>
        <w:tblW w:w="0" w:type="auto"/>
        <w:tblInd w:w="1417" w:type="dxa"/>
        <w:tblLook w:val="04A0" w:firstRow="1" w:lastRow="0" w:firstColumn="1" w:lastColumn="0" w:noHBand="0" w:noVBand="1"/>
      </w:tblPr>
      <w:tblGrid>
        <w:gridCol w:w="3138"/>
        <w:gridCol w:w="4507"/>
      </w:tblGrid>
      <w:tr w:rsidR="008A66B9" w:rsidRPr="000430E1" w14:paraId="1448A018" w14:textId="77777777" w:rsidTr="008A66B9">
        <w:tc>
          <w:tcPr>
            <w:tcW w:w="3678" w:type="dxa"/>
          </w:tcPr>
          <w:p w14:paraId="29FEB31F" w14:textId="77777777" w:rsidR="008A66B9" w:rsidRPr="000430E1" w:rsidRDefault="008A66B9" w:rsidP="00FB1A98">
            <w:pPr>
              <w:pStyle w:val="ListParagraph"/>
              <w:spacing w:before="100" w:beforeAutospacing="1"/>
              <w:ind w:left="0" w:right="1417"/>
              <w:jc w:val="center"/>
              <w:rPr>
                <w:rFonts w:ascii="Times New Roman" w:hAnsi="Times New Roman" w:cs="Times New Roman"/>
                <w:color w:val="92D050"/>
                <w:sz w:val="24"/>
                <w:szCs w:val="24"/>
              </w:rPr>
            </w:pPr>
            <w:r w:rsidRPr="000430E1">
              <w:rPr>
                <w:rFonts w:ascii="Times New Roman" w:hAnsi="Times New Roman" w:cs="Times New Roman"/>
                <w:color w:val="92D050"/>
                <w:sz w:val="24"/>
                <w:szCs w:val="24"/>
              </w:rPr>
              <w:t>Смислови части от откъса</w:t>
            </w:r>
          </w:p>
        </w:tc>
        <w:tc>
          <w:tcPr>
            <w:tcW w:w="12333" w:type="dxa"/>
          </w:tcPr>
          <w:p w14:paraId="2B2A63EF" w14:textId="77777777" w:rsidR="008A66B9" w:rsidRPr="000430E1" w:rsidRDefault="008A66B9" w:rsidP="00FB1A98">
            <w:pPr>
              <w:pStyle w:val="ListParagraph"/>
              <w:spacing w:before="100" w:beforeAutospacing="1"/>
              <w:ind w:left="0" w:right="1417"/>
              <w:jc w:val="center"/>
              <w:rPr>
                <w:rFonts w:ascii="Times New Roman" w:hAnsi="Times New Roman" w:cs="Times New Roman"/>
                <w:color w:val="FFC000"/>
                <w:sz w:val="24"/>
                <w:szCs w:val="24"/>
              </w:rPr>
            </w:pPr>
            <w:r w:rsidRPr="000430E1">
              <w:rPr>
                <w:rFonts w:ascii="Times New Roman" w:hAnsi="Times New Roman" w:cs="Times New Roman"/>
                <w:color w:val="FFC000"/>
                <w:sz w:val="24"/>
                <w:szCs w:val="24"/>
              </w:rPr>
              <w:t>Впечатленията на пътуващия</w:t>
            </w:r>
          </w:p>
        </w:tc>
      </w:tr>
      <w:tr w:rsidR="008A66B9" w:rsidRPr="000430E1" w14:paraId="06E8EE59" w14:textId="77777777" w:rsidTr="008A66B9">
        <w:tc>
          <w:tcPr>
            <w:tcW w:w="3678" w:type="dxa"/>
          </w:tcPr>
          <w:p w14:paraId="41326B25" w14:textId="77777777" w:rsidR="008A66B9" w:rsidRPr="000430E1" w:rsidRDefault="008A66B9" w:rsidP="00FB1A98">
            <w:pPr>
              <w:pStyle w:val="ListParagraph"/>
              <w:spacing w:before="100" w:beforeAutospacing="1"/>
              <w:ind w:left="0" w:right="1417"/>
              <w:jc w:val="both"/>
              <w:rPr>
                <w:rFonts w:ascii="Times New Roman" w:hAnsi="Times New Roman" w:cs="Times New Roman"/>
                <w:sz w:val="24"/>
                <w:szCs w:val="24"/>
              </w:rPr>
            </w:pPr>
            <w:r w:rsidRPr="000430E1">
              <w:rPr>
                <w:rFonts w:ascii="Times New Roman" w:hAnsi="Times New Roman" w:cs="Times New Roman"/>
                <w:sz w:val="24"/>
                <w:szCs w:val="24"/>
              </w:rPr>
              <w:t>Чикагското изложение</w:t>
            </w:r>
          </w:p>
        </w:tc>
        <w:tc>
          <w:tcPr>
            <w:tcW w:w="12333" w:type="dxa"/>
          </w:tcPr>
          <w:p w14:paraId="46454DA5" w14:textId="77777777" w:rsidR="008A66B9" w:rsidRPr="000430E1" w:rsidRDefault="008A66B9" w:rsidP="00AB66F4">
            <w:pPr>
              <w:pStyle w:val="ListParagraph"/>
              <w:spacing w:before="100" w:beforeAutospacing="1"/>
              <w:ind w:left="0" w:right="318"/>
              <w:jc w:val="both"/>
              <w:rPr>
                <w:rFonts w:ascii="Times New Roman" w:hAnsi="Times New Roman" w:cs="Times New Roman"/>
                <w:sz w:val="24"/>
                <w:szCs w:val="24"/>
              </w:rPr>
            </w:pPr>
            <w:r w:rsidRPr="000430E1">
              <w:rPr>
                <w:rFonts w:ascii="Times New Roman" w:hAnsi="Times New Roman" w:cs="Times New Roman"/>
                <w:sz w:val="24"/>
                <w:szCs w:val="24"/>
              </w:rPr>
              <w:t>  • Разказът за Колумбовото изложение започва със сравнение с Пловдивското – на читателя се дава възможност да започне сравнението на „там“ и „тук“, при което става ясно, че нашето може да се вмести в една палата от чуждото (цялото Пловдивско изложение, а и „всички жители на втората българска столица, заедно с всичката им покъщнина, па и с живата стока отгоре“).      </w:t>
            </w:r>
          </w:p>
          <w:p w14:paraId="6BC09FA9" w14:textId="77777777" w:rsidR="008A66B9" w:rsidRPr="000430E1" w:rsidRDefault="008A66B9" w:rsidP="00AB66F4">
            <w:pPr>
              <w:pStyle w:val="ListParagraph"/>
              <w:spacing w:before="100" w:beforeAutospacing="1"/>
              <w:ind w:left="0" w:right="318"/>
              <w:jc w:val="both"/>
              <w:rPr>
                <w:rFonts w:ascii="Times New Roman" w:hAnsi="Times New Roman" w:cs="Times New Roman"/>
                <w:sz w:val="24"/>
                <w:szCs w:val="24"/>
              </w:rPr>
            </w:pPr>
            <w:r w:rsidRPr="000430E1">
              <w:rPr>
                <w:rFonts w:ascii="Times New Roman" w:hAnsi="Times New Roman" w:cs="Times New Roman"/>
                <w:sz w:val="24"/>
                <w:szCs w:val="24"/>
              </w:rPr>
              <w:t xml:space="preserve"> • Със своите пряко отправени въпроси разказвачът въвлича читателите в размисъл за мястото на България в света.     </w:t>
            </w:r>
          </w:p>
          <w:p w14:paraId="57BA05BD" w14:textId="77777777" w:rsidR="008A66B9" w:rsidRPr="000430E1" w:rsidRDefault="008A66B9" w:rsidP="00AB66F4">
            <w:pPr>
              <w:pStyle w:val="ListParagraph"/>
              <w:spacing w:before="100" w:beforeAutospacing="1"/>
              <w:ind w:left="0" w:right="318"/>
              <w:jc w:val="both"/>
              <w:rPr>
                <w:rFonts w:ascii="Times New Roman" w:hAnsi="Times New Roman" w:cs="Times New Roman"/>
                <w:sz w:val="24"/>
                <w:szCs w:val="24"/>
              </w:rPr>
            </w:pPr>
            <w:r w:rsidRPr="000430E1">
              <w:rPr>
                <w:rFonts w:ascii="Times New Roman" w:hAnsi="Times New Roman" w:cs="Times New Roman"/>
                <w:sz w:val="24"/>
                <w:szCs w:val="24"/>
              </w:rPr>
              <w:t>  • Използването на точни данни очертава пътя на сравнението – от външното към вътрешното, същностното.      </w:t>
            </w:r>
          </w:p>
          <w:p w14:paraId="167AFA81" w14:textId="77777777" w:rsidR="008A66B9" w:rsidRPr="000430E1" w:rsidRDefault="008A66B9" w:rsidP="00AB66F4">
            <w:pPr>
              <w:pStyle w:val="ListParagraph"/>
              <w:spacing w:before="100" w:beforeAutospacing="1"/>
              <w:ind w:left="0" w:right="318"/>
              <w:jc w:val="both"/>
              <w:rPr>
                <w:rFonts w:ascii="Times New Roman" w:hAnsi="Times New Roman" w:cs="Times New Roman"/>
                <w:sz w:val="24"/>
                <w:szCs w:val="24"/>
              </w:rPr>
            </w:pPr>
            <w:r w:rsidRPr="000430E1">
              <w:rPr>
                <w:rFonts w:ascii="Times New Roman" w:hAnsi="Times New Roman" w:cs="Times New Roman"/>
                <w:sz w:val="24"/>
                <w:szCs w:val="24"/>
              </w:rPr>
              <w:t xml:space="preserve"> • Красотата и мащабите на големите павилиони подготвят срещата с „дюкянчето“ на малка България, която отскоро отново е на международната сцена.</w:t>
            </w:r>
          </w:p>
        </w:tc>
      </w:tr>
      <w:tr w:rsidR="008A66B9" w:rsidRPr="000430E1" w14:paraId="2BCE740F" w14:textId="77777777" w:rsidTr="008A66B9">
        <w:tc>
          <w:tcPr>
            <w:tcW w:w="3678" w:type="dxa"/>
          </w:tcPr>
          <w:p w14:paraId="310C8AC0" w14:textId="77777777" w:rsidR="008A66B9" w:rsidRPr="000430E1" w:rsidRDefault="008A66B9" w:rsidP="00FB1A98">
            <w:pPr>
              <w:pStyle w:val="ListParagraph"/>
              <w:spacing w:before="100" w:beforeAutospacing="1"/>
              <w:ind w:left="0" w:right="1417"/>
              <w:jc w:val="both"/>
              <w:rPr>
                <w:rFonts w:ascii="Times New Roman" w:hAnsi="Times New Roman" w:cs="Times New Roman"/>
                <w:sz w:val="24"/>
                <w:szCs w:val="24"/>
              </w:rPr>
            </w:pPr>
            <w:r w:rsidRPr="000430E1">
              <w:rPr>
                <w:rFonts w:ascii="Times New Roman" w:hAnsi="Times New Roman" w:cs="Times New Roman"/>
                <w:sz w:val="24"/>
                <w:szCs w:val="24"/>
              </w:rPr>
              <w:t>Официалният български павилион</w:t>
            </w:r>
          </w:p>
        </w:tc>
        <w:tc>
          <w:tcPr>
            <w:tcW w:w="12333" w:type="dxa"/>
          </w:tcPr>
          <w:p w14:paraId="4933A6FD" w14:textId="77777777" w:rsidR="008A66B9" w:rsidRPr="000430E1" w:rsidRDefault="008A66B9" w:rsidP="00AB66F4">
            <w:pPr>
              <w:pStyle w:val="ListParagraph"/>
              <w:spacing w:before="100" w:beforeAutospacing="1"/>
              <w:ind w:left="0" w:right="318"/>
              <w:jc w:val="both"/>
              <w:rPr>
                <w:rFonts w:ascii="Times New Roman" w:hAnsi="Times New Roman" w:cs="Times New Roman"/>
                <w:sz w:val="24"/>
                <w:szCs w:val="24"/>
              </w:rPr>
            </w:pPr>
            <w:r w:rsidRPr="000430E1">
              <w:rPr>
                <w:rFonts w:ascii="Times New Roman" w:hAnsi="Times New Roman" w:cs="Times New Roman"/>
                <w:sz w:val="24"/>
                <w:szCs w:val="24"/>
              </w:rPr>
              <w:t xml:space="preserve">    • В тъмна и тясна уличка се намира българското представителство. Очертава се контрастът между светлото и широкото чуждо и тъмното и тясно наше присъствие на изложението.       </w:t>
            </w:r>
          </w:p>
          <w:p w14:paraId="5D9A1D70" w14:textId="77777777" w:rsidR="008A66B9" w:rsidRPr="000430E1" w:rsidRDefault="008A66B9" w:rsidP="00AB66F4">
            <w:pPr>
              <w:pStyle w:val="ListParagraph"/>
              <w:spacing w:before="100" w:beforeAutospacing="1"/>
              <w:ind w:left="0" w:right="318"/>
              <w:jc w:val="both"/>
              <w:rPr>
                <w:rFonts w:ascii="Times New Roman" w:hAnsi="Times New Roman" w:cs="Times New Roman"/>
                <w:sz w:val="24"/>
                <w:szCs w:val="24"/>
              </w:rPr>
            </w:pPr>
            <w:r w:rsidRPr="000430E1">
              <w:rPr>
                <w:rFonts w:ascii="Times New Roman" w:hAnsi="Times New Roman" w:cs="Times New Roman"/>
                <w:sz w:val="24"/>
                <w:szCs w:val="24"/>
              </w:rPr>
              <w:t>• Над българското „дюкянче“ е поставен трикольорът, за който насмешливо е вметнато, че не се развява, защото „в зданието няма вятър“. Това, от една страна, дава израз на гордостта от присъствието на независимата ни държава на международен форум, но от друга, показва, че има да се извърши още много, за да може България да заеме своето достойно място сред другите страни.      </w:t>
            </w:r>
          </w:p>
          <w:p w14:paraId="7C68303E" w14:textId="77777777" w:rsidR="008A66B9" w:rsidRPr="000430E1" w:rsidRDefault="008A66B9" w:rsidP="00AB66F4">
            <w:pPr>
              <w:pStyle w:val="ListParagraph"/>
              <w:spacing w:before="100" w:beforeAutospacing="1"/>
              <w:ind w:left="0" w:right="318"/>
              <w:jc w:val="both"/>
              <w:rPr>
                <w:rFonts w:ascii="Times New Roman" w:hAnsi="Times New Roman" w:cs="Times New Roman"/>
                <w:sz w:val="24"/>
                <w:szCs w:val="24"/>
              </w:rPr>
            </w:pPr>
            <w:r w:rsidRPr="000430E1">
              <w:rPr>
                <w:rFonts w:ascii="Times New Roman" w:hAnsi="Times New Roman" w:cs="Times New Roman"/>
                <w:sz w:val="24"/>
                <w:szCs w:val="24"/>
              </w:rPr>
              <w:lastRenderedPageBreak/>
              <w:t xml:space="preserve"> • В официалния български отдел са разположени истински експонати, които представят страната ни – красиви витрини с розово масло, платове, славни напитки, манекени на булка (народната традиция) и майор (възстановената българска армия) и т.н., но образът на България в тази предметна обстановка всъщност не е много ясен, тъй като светлината е оскъдна.      </w:t>
            </w:r>
          </w:p>
          <w:p w14:paraId="440FC391" w14:textId="77777777" w:rsidR="008A66B9" w:rsidRPr="000430E1" w:rsidRDefault="008A66B9" w:rsidP="00AB66F4">
            <w:pPr>
              <w:pStyle w:val="ListParagraph"/>
              <w:spacing w:before="100" w:beforeAutospacing="1"/>
              <w:ind w:left="0" w:right="318"/>
              <w:jc w:val="both"/>
              <w:rPr>
                <w:rFonts w:ascii="Times New Roman" w:hAnsi="Times New Roman" w:cs="Times New Roman"/>
                <w:sz w:val="24"/>
                <w:szCs w:val="24"/>
              </w:rPr>
            </w:pPr>
            <w:r w:rsidRPr="000430E1">
              <w:rPr>
                <w:rFonts w:ascii="Times New Roman" w:hAnsi="Times New Roman" w:cs="Times New Roman"/>
                <w:sz w:val="24"/>
                <w:szCs w:val="24"/>
              </w:rPr>
              <w:t xml:space="preserve"> • Усилията на господин Шопов да представи пред любознателния свят „тъй наречения земен рай“, както нарича България, посочвайки я на географската карта, заслужават уважение. Съществува обаче проблем с превода, макар че официалният ни представител и помощниците му знаят английски. Повествователят коментира, че не е възможно при краткото и повърхностно общуване между хора от различни култури да се „преведе“ истинският смисъл „на таквизи технически изражения“. В думите му има както насмешка, така и горчивина.</w:t>
            </w:r>
          </w:p>
        </w:tc>
      </w:tr>
      <w:tr w:rsidR="008A66B9" w:rsidRPr="000430E1" w14:paraId="57AC398A" w14:textId="77777777" w:rsidTr="008A66B9">
        <w:tc>
          <w:tcPr>
            <w:tcW w:w="3678" w:type="dxa"/>
          </w:tcPr>
          <w:p w14:paraId="2A4729E2" w14:textId="77777777" w:rsidR="008A66B9" w:rsidRPr="000430E1" w:rsidRDefault="008A66B9" w:rsidP="00FB1A98">
            <w:pPr>
              <w:pStyle w:val="ListParagraph"/>
              <w:spacing w:before="100" w:beforeAutospacing="1"/>
              <w:ind w:left="0" w:right="1417"/>
              <w:jc w:val="both"/>
              <w:rPr>
                <w:rFonts w:ascii="Times New Roman" w:hAnsi="Times New Roman" w:cs="Times New Roman"/>
                <w:sz w:val="24"/>
                <w:szCs w:val="24"/>
              </w:rPr>
            </w:pPr>
            <w:r w:rsidRPr="000430E1">
              <w:rPr>
                <w:rFonts w:ascii="Times New Roman" w:hAnsi="Times New Roman" w:cs="Times New Roman"/>
                <w:sz w:val="24"/>
                <w:szCs w:val="24"/>
              </w:rPr>
              <w:lastRenderedPageBreak/>
              <w:t>Панаирът</w:t>
            </w:r>
          </w:p>
        </w:tc>
        <w:tc>
          <w:tcPr>
            <w:tcW w:w="12333" w:type="dxa"/>
          </w:tcPr>
          <w:p w14:paraId="071E930E" w14:textId="77777777" w:rsidR="008A66B9" w:rsidRPr="000430E1" w:rsidRDefault="008A66B9" w:rsidP="00AB66F4">
            <w:pPr>
              <w:pStyle w:val="ListParagraph"/>
              <w:spacing w:before="100" w:beforeAutospacing="1"/>
              <w:ind w:left="0" w:right="176"/>
              <w:jc w:val="both"/>
              <w:rPr>
                <w:rFonts w:ascii="Times New Roman" w:hAnsi="Times New Roman" w:cs="Times New Roman"/>
                <w:sz w:val="24"/>
                <w:szCs w:val="24"/>
              </w:rPr>
            </w:pPr>
            <w:r w:rsidRPr="000430E1">
              <w:rPr>
                <w:rFonts w:ascii="Times New Roman" w:hAnsi="Times New Roman" w:cs="Times New Roman"/>
                <w:sz w:val="24"/>
                <w:szCs w:val="24"/>
              </w:rPr>
              <w:t xml:space="preserve">    • Съпътстващият изложението огромен увеселителен и търговски панаир е въведен като „любимо място“ на посетителите, на което е събран „целият свят“.       </w:t>
            </w:r>
          </w:p>
          <w:p w14:paraId="3AFC2C4B" w14:textId="77777777" w:rsidR="008A66B9" w:rsidRPr="000430E1" w:rsidRDefault="008A66B9" w:rsidP="00AB66F4">
            <w:pPr>
              <w:pStyle w:val="ListParagraph"/>
              <w:spacing w:before="100" w:beforeAutospacing="1"/>
              <w:ind w:left="0" w:right="176"/>
              <w:jc w:val="both"/>
              <w:rPr>
                <w:rFonts w:ascii="Times New Roman" w:hAnsi="Times New Roman" w:cs="Times New Roman"/>
                <w:sz w:val="24"/>
                <w:szCs w:val="24"/>
              </w:rPr>
            </w:pPr>
            <w:r w:rsidRPr="000430E1">
              <w:rPr>
                <w:rFonts w:ascii="Times New Roman" w:hAnsi="Times New Roman" w:cs="Times New Roman"/>
                <w:sz w:val="24"/>
                <w:szCs w:val="24"/>
              </w:rPr>
              <w:t>• Общуването тук е по-свободно и шумно.      </w:t>
            </w:r>
          </w:p>
          <w:p w14:paraId="773C1987" w14:textId="77777777" w:rsidR="008A66B9" w:rsidRPr="000430E1" w:rsidRDefault="008A66B9" w:rsidP="00AB66F4">
            <w:pPr>
              <w:pStyle w:val="ListParagraph"/>
              <w:spacing w:before="100" w:beforeAutospacing="1"/>
              <w:ind w:left="0" w:right="176"/>
              <w:jc w:val="both"/>
              <w:rPr>
                <w:rFonts w:ascii="Times New Roman" w:hAnsi="Times New Roman" w:cs="Times New Roman"/>
                <w:sz w:val="24"/>
                <w:szCs w:val="24"/>
              </w:rPr>
            </w:pPr>
            <w:r w:rsidRPr="000430E1">
              <w:rPr>
                <w:rFonts w:ascii="Times New Roman" w:hAnsi="Times New Roman" w:cs="Times New Roman"/>
                <w:sz w:val="24"/>
                <w:szCs w:val="24"/>
              </w:rPr>
              <w:t xml:space="preserve"> • Обобщеното и дълго изброяване на екзотични предмети и споменаването на различни националности са прекъснати от изтъкването на присъствието на един човек, представен с името си – „софийския гражданин г. Айвазиян“. Сред множеството повествователят отново – за добро или лошо – откроява българския образ.</w:t>
            </w:r>
          </w:p>
        </w:tc>
      </w:tr>
      <w:tr w:rsidR="008A66B9" w:rsidRPr="000430E1" w14:paraId="297EB92D" w14:textId="77777777" w:rsidTr="008A66B9">
        <w:tc>
          <w:tcPr>
            <w:tcW w:w="3678" w:type="dxa"/>
          </w:tcPr>
          <w:p w14:paraId="052859C0" w14:textId="77777777" w:rsidR="008A66B9" w:rsidRPr="000430E1" w:rsidRDefault="008A66B9" w:rsidP="00FB1A98">
            <w:pPr>
              <w:pStyle w:val="ListParagraph"/>
              <w:spacing w:before="100" w:beforeAutospacing="1"/>
              <w:ind w:left="0" w:right="1417"/>
              <w:jc w:val="both"/>
              <w:rPr>
                <w:rFonts w:ascii="Times New Roman" w:hAnsi="Times New Roman" w:cs="Times New Roman"/>
                <w:sz w:val="24"/>
                <w:szCs w:val="24"/>
              </w:rPr>
            </w:pPr>
            <w:r w:rsidRPr="000430E1">
              <w:rPr>
                <w:rFonts w:ascii="Times New Roman" w:hAnsi="Times New Roman" w:cs="Times New Roman"/>
                <w:sz w:val="24"/>
                <w:szCs w:val="24"/>
              </w:rPr>
              <w:t>Бараката „</w:t>
            </w:r>
            <w:r w:rsidRPr="000430E1">
              <w:rPr>
                <w:rFonts w:ascii="Times New Roman" w:hAnsi="Times New Roman" w:cs="Times New Roman"/>
                <w:sz w:val="24"/>
                <w:szCs w:val="24"/>
                <w:lang w:val="en-US"/>
              </w:rPr>
              <w:t>Bulgarian curiosities</w:t>
            </w:r>
            <w:r w:rsidRPr="000430E1">
              <w:rPr>
                <w:rFonts w:ascii="Times New Roman" w:hAnsi="Times New Roman" w:cs="Times New Roman"/>
                <w:sz w:val="24"/>
                <w:szCs w:val="24"/>
              </w:rPr>
              <w:t>”</w:t>
            </w:r>
          </w:p>
        </w:tc>
        <w:tc>
          <w:tcPr>
            <w:tcW w:w="12333" w:type="dxa"/>
          </w:tcPr>
          <w:p w14:paraId="7807BC77" w14:textId="77777777" w:rsidR="008A66B9" w:rsidRPr="000430E1" w:rsidRDefault="008A66B9" w:rsidP="00AB66F4">
            <w:pPr>
              <w:pStyle w:val="ListParagraph"/>
              <w:tabs>
                <w:tab w:val="left" w:pos="11232"/>
                <w:tab w:val="left" w:pos="12366"/>
              </w:tabs>
              <w:spacing w:before="100" w:beforeAutospacing="1"/>
              <w:ind w:left="0"/>
              <w:jc w:val="both"/>
              <w:rPr>
                <w:rFonts w:ascii="Times New Roman" w:hAnsi="Times New Roman" w:cs="Times New Roman"/>
                <w:sz w:val="24"/>
                <w:szCs w:val="24"/>
              </w:rPr>
            </w:pPr>
            <w:r w:rsidRPr="000430E1">
              <w:rPr>
                <w:rFonts w:ascii="Times New Roman" w:hAnsi="Times New Roman" w:cs="Times New Roman"/>
                <w:sz w:val="24"/>
                <w:szCs w:val="24"/>
              </w:rPr>
              <w:t xml:space="preserve">  • Ясно са очертани приликите и разликите между официалния отдел на България и бараката „Bulgarian curiosities“ – двете места, представящи страната ни пред света: </w:t>
            </w:r>
          </w:p>
          <w:p w14:paraId="5BD61764" w14:textId="77777777" w:rsidR="008A66B9" w:rsidRPr="000430E1" w:rsidRDefault="008A66B9" w:rsidP="00AB66F4">
            <w:pPr>
              <w:pStyle w:val="ListParagraph"/>
              <w:tabs>
                <w:tab w:val="left" w:pos="11232"/>
                <w:tab w:val="left" w:pos="12366"/>
              </w:tabs>
              <w:spacing w:before="100" w:beforeAutospacing="1"/>
              <w:ind w:left="0"/>
              <w:jc w:val="both"/>
              <w:rPr>
                <w:rFonts w:ascii="Times New Roman" w:hAnsi="Times New Roman" w:cs="Times New Roman"/>
                <w:sz w:val="24"/>
                <w:szCs w:val="24"/>
              </w:rPr>
            </w:pPr>
            <w:r w:rsidRPr="000430E1">
              <w:rPr>
                <w:rFonts w:ascii="Times New Roman" w:hAnsi="Times New Roman" w:cs="Times New Roman"/>
                <w:sz w:val="24"/>
                <w:szCs w:val="24"/>
              </w:rPr>
              <w:lastRenderedPageBreak/>
              <w:t xml:space="preserve">Прилики:       • присъстват знаците на националната гордост – знаме, портрети, военна униформа;     </w:t>
            </w:r>
          </w:p>
          <w:p w14:paraId="3F4C4267" w14:textId="77777777" w:rsidR="008A66B9" w:rsidRPr="000430E1" w:rsidRDefault="008A66B9" w:rsidP="00AB66F4">
            <w:pPr>
              <w:pStyle w:val="ListParagraph"/>
              <w:tabs>
                <w:tab w:val="left" w:pos="11232"/>
                <w:tab w:val="left" w:pos="12366"/>
              </w:tabs>
              <w:spacing w:before="100" w:beforeAutospacing="1"/>
              <w:ind w:left="0"/>
              <w:jc w:val="both"/>
              <w:rPr>
                <w:rFonts w:ascii="Times New Roman" w:hAnsi="Times New Roman" w:cs="Times New Roman"/>
                <w:sz w:val="24"/>
                <w:szCs w:val="24"/>
              </w:rPr>
            </w:pPr>
            <w:r w:rsidRPr="000430E1">
              <w:rPr>
                <w:rFonts w:ascii="Times New Roman" w:hAnsi="Times New Roman" w:cs="Times New Roman"/>
                <w:sz w:val="24"/>
                <w:szCs w:val="24"/>
              </w:rPr>
              <w:t>  • самобитността на родната култура е показана чрез избраните за излагане предмети – розово масло, народни носии, булка;      </w:t>
            </w:r>
          </w:p>
          <w:p w14:paraId="6B9C328C" w14:textId="77777777" w:rsidR="008A66B9" w:rsidRPr="000430E1" w:rsidRDefault="008A66B9" w:rsidP="00AB66F4">
            <w:pPr>
              <w:pStyle w:val="ListParagraph"/>
              <w:tabs>
                <w:tab w:val="left" w:pos="11232"/>
                <w:tab w:val="left" w:pos="12366"/>
              </w:tabs>
              <w:spacing w:before="100" w:beforeAutospacing="1"/>
              <w:ind w:left="0"/>
              <w:jc w:val="both"/>
              <w:rPr>
                <w:rFonts w:ascii="Times New Roman" w:hAnsi="Times New Roman" w:cs="Times New Roman"/>
                <w:sz w:val="24"/>
                <w:szCs w:val="24"/>
              </w:rPr>
            </w:pPr>
            <w:r w:rsidRPr="000430E1">
              <w:rPr>
                <w:rFonts w:ascii="Times New Roman" w:hAnsi="Times New Roman" w:cs="Times New Roman"/>
                <w:sz w:val="24"/>
                <w:szCs w:val="24"/>
              </w:rPr>
              <w:t xml:space="preserve"> • посетителите проявяват неутолима любознателност. </w:t>
            </w:r>
          </w:p>
          <w:p w14:paraId="624C097C" w14:textId="77777777" w:rsidR="008A66B9" w:rsidRPr="000430E1" w:rsidRDefault="008A66B9" w:rsidP="00AB66F4">
            <w:pPr>
              <w:pStyle w:val="ListParagraph"/>
              <w:tabs>
                <w:tab w:val="left" w:pos="11232"/>
                <w:tab w:val="left" w:pos="12366"/>
              </w:tabs>
              <w:spacing w:before="100" w:beforeAutospacing="1"/>
              <w:ind w:left="0"/>
              <w:jc w:val="both"/>
              <w:rPr>
                <w:rFonts w:ascii="Times New Roman" w:hAnsi="Times New Roman" w:cs="Times New Roman"/>
                <w:sz w:val="24"/>
                <w:szCs w:val="24"/>
              </w:rPr>
            </w:pPr>
            <w:r w:rsidRPr="000430E1">
              <w:rPr>
                <w:rFonts w:ascii="Times New Roman" w:hAnsi="Times New Roman" w:cs="Times New Roman"/>
                <w:sz w:val="24"/>
                <w:szCs w:val="24"/>
              </w:rPr>
              <w:t>Разлики:       • красивите витрини на официалното представителство са заменени с „джамлъци“;    </w:t>
            </w:r>
          </w:p>
          <w:p w14:paraId="1A14D827" w14:textId="77777777" w:rsidR="008A66B9" w:rsidRPr="000430E1" w:rsidRDefault="008A66B9" w:rsidP="00AB66F4">
            <w:pPr>
              <w:pStyle w:val="ListParagraph"/>
              <w:tabs>
                <w:tab w:val="left" w:pos="11232"/>
                <w:tab w:val="left" w:pos="12366"/>
              </w:tabs>
              <w:spacing w:before="100" w:beforeAutospacing="1"/>
              <w:ind w:left="0"/>
              <w:jc w:val="both"/>
              <w:rPr>
                <w:rFonts w:ascii="Times New Roman" w:hAnsi="Times New Roman" w:cs="Times New Roman"/>
                <w:sz w:val="24"/>
                <w:szCs w:val="24"/>
              </w:rPr>
            </w:pPr>
            <w:r w:rsidRPr="000430E1">
              <w:rPr>
                <w:rFonts w:ascii="Times New Roman" w:hAnsi="Times New Roman" w:cs="Times New Roman"/>
                <w:sz w:val="24"/>
                <w:szCs w:val="24"/>
              </w:rPr>
              <w:t xml:space="preserve">   • господин Шопов е любезен, владее английски, проявява уважение и се стреми да обогати знанията на любопитните американци за България; бай Айвазиян е недоверчив, общува с помощта на посредници, защото знае само турски и се опитва единствено да осъществи продажби, като използва непочтени средства и мисли посетителите за глупави („абдал“, „будали“);       </w:t>
            </w:r>
          </w:p>
          <w:p w14:paraId="2CB51E8B" w14:textId="77777777" w:rsidR="008A66B9" w:rsidRPr="000430E1" w:rsidRDefault="008A66B9" w:rsidP="00AB66F4">
            <w:pPr>
              <w:pStyle w:val="ListParagraph"/>
              <w:tabs>
                <w:tab w:val="left" w:pos="11232"/>
                <w:tab w:val="left" w:pos="12366"/>
              </w:tabs>
              <w:spacing w:before="100" w:beforeAutospacing="1"/>
              <w:ind w:left="0"/>
              <w:jc w:val="both"/>
              <w:rPr>
                <w:rFonts w:ascii="Times New Roman" w:hAnsi="Times New Roman" w:cs="Times New Roman"/>
                <w:sz w:val="24"/>
                <w:szCs w:val="24"/>
              </w:rPr>
            </w:pPr>
            <w:r w:rsidRPr="000430E1">
              <w:rPr>
                <w:rFonts w:ascii="Times New Roman" w:hAnsi="Times New Roman" w:cs="Times New Roman"/>
                <w:sz w:val="24"/>
                <w:szCs w:val="24"/>
              </w:rPr>
              <w:t xml:space="preserve">• в официалното представителство е изложено истинско розово масло, а Ганьо Сомов продава фалшиво терше́;       </w:t>
            </w:r>
          </w:p>
          <w:p w14:paraId="3B619430" w14:textId="77777777" w:rsidR="008A66B9" w:rsidRPr="000430E1" w:rsidRDefault="008A66B9" w:rsidP="00AB66F4">
            <w:pPr>
              <w:pStyle w:val="ListParagraph"/>
              <w:tabs>
                <w:tab w:val="left" w:pos="11232"/>
                <w:tab w:val="left" w:pos="12366"/>
              </w:tabs>
              <w:spacing w:before="100" w:beforeAutospacing="1"/>
              <w:ind w:left="0"/>
              <w:jc w:val="both"/>
              <w:rPr>
                <w:rFonts w:ascii="Times New Roman" w:hAnsi="Times New Roman" w:cs="Times New Roman"/>
                <w:sz w:val="24"/>
                <w:szCs w:val="24"/>
              </w:rPr>
            </w:pPr>
            <w:r w:rsidRPr="000430E1">
              <w:rPr>
                <w:rFonts w:ascii="Times New Roman" w:hAnsi="Times New Roman" w:cs="Times New Roman"/>
                <w:sz w:val="24"/>
                <w:szCs w:val="24"/>
              </w:rPr>
              <w:t>• В официалния павилион има истински експонати, които, макар и слабо осветени, са емблеми на националното, докато в бараката на Айвазиян и Ганьо Сомов има стоки, които изграждат фалшив образ на страната ни.</w:t>
            </w:r>
          </w:p>
        </w:tc>
      </w:tr>
    </w:tbl>
    <w:p w14:paraId="7F41B0DF" w14:textId="77777777" w:rsidR="008A66B9" w:rsidRDefault="008A66B9"/>
    <w:p w14:paraId="162B5453" w14:textId="77777777" w:rsidR="0011178F" w:rsidRPr="00AB66F4" w:rsidRDefault="0011178F" w:rsidP="00AB66F4">
      <w:pPr>
        <w:ind w:left="1417" w:right="1417"/>
        <w:rPr>
          <w:rFonts w:ascii="Times New Roman" w:hAnsi="Times New Roman" w:cs="Times New Roman"/>
          <w:b/>
          <w:sz w:val="24"/>
          <w:szCs w:val="24"/>
        </w:rPr>
      </w:pPr>
      <w:r w:rsidRPr="00AB66F4">
        <w:rPr>
          <w:rFonts w:ascii="Times New Roman" w:hAnsi="Times New Roman" w:cs="Times New Roman"/>
          <w:b/>
          <w:sz w:val="24"/>
          <w:szCs w:val="24"/>
        </w:rPr>
        <w:t>Зад.1 Попълнете липсващите думи в текста.</w:t>
      </w:r>
    </w:p>
    <w:p w14:paraId="3FF497FD" w14:textId="021B8E2B" w:rsidR="0011178F" w:rsidRPr="00AB66F4" w:rsidRDefault="0011178F" w:rsidP="00877F7D">
      <w:pPr>
        <w:ind w:left="1417" w:right="1417" w:firstLine="707"/>
        <w:jc w:val="both"/>
        <w:rPr>
          <w:rFonts w:ascii="Times New Roman" w:hAnsi="Times New Roman" w:cs="Times New Roman"/>
          <w:sz w:val="24"/>
          <w:szCs w:val="24"/>
        </w:rPr>
      </w:pPr>
      <w:r w:rsidRPr="00AB66F4">
        <w:rPr>
          <w:rFonts w:ascii="Times New Roman" w:hAnsi="Times New Roman" w:cs="Times New Roman"/>
          <w:sz w:val="24"/>
          <w:szCs w:val="24"/>
        </w:rPr>
        <w:t>В ……………………………………..”До Чикаго и назад” Ал. Константинов разкрива впечатленията си от своето пътуване до ……………………………..свят. Това, което вижда в българския …………………………………..на Чикагското изложение, не поражда в душата му чувство на …………………………………………..Авторът представя ………………………………………….между родното и модерната цивилизация. Основните похвати, които използва, са ………………………………..на предметната обстановка и …………………………………………характеристика на героите.</w:t>
      </w:r>
    </w:p>
    <w:p w14:paraId="257792EA" w14:textId="77777777" w:rsidR="0011178F" w:rsidRPr="00AB66F4" w:rsidRDefault="0011178F" w:rsidP="00AB66F4">
      <w:pPr>
        <w:ind w:left="1417" w:right="1417"/>
        <w:rPr>
          <w:rFonts w:ascii="Times New Roman" w:hAnsi="Times New Roman" w:cs="Times New Roman"/>
          <w:b/>
          <w:sz w:val="24"/>
          <w:szCs w:val="24"/>
        </w:rPr>
      </w:pPr>
      <w:r w:rsidRPr="00AB66F4">
        <w:rPr>
          <w:rFonts w:ascii="Times New Roman" w:hAnsi="Times New Roman" w:cs="Times New Roman"/>
          <w:b/>
          <w:sz w:val="24"/>
          <w:szCs w:val="24"/>
        </w:rPr>
        <w:lastRenderedPageBreak/>
        <w:t>Зад. 2 Свържете всеки цитат с героя, за когото се отнася. Срещу името на съответния герой напишете цифрата на цитата.</w:t>
      </w:r>
    </w:p>
    <w:p w14:paraId="774BD1DA" w14:textId="77777777" w:rsidR="0011178F" w:rsidRPr="00AB66F4" w:rsidRDefault="0011178F" w:rsidP="00AB66F4">
      <w:pPr>
        <w:pStyle w:val="ListParagraph"/>
        <w:numPr>
          <w:ilvl w:val="0"/>
          <w:numId w:val="1"/>
        </w:numPr>
        <w:ind w:left="1417" w:right="1417"/>
        <w:rPr>
          <w:rFonts w:ascii="Times New Roman" w:hAnsi="Times New Roman" w:cs="Times New Roman"/>
          <w:sz w:val="24"/>
          <w:szCs w:val="24"/>
        </w:rPr>
      </w:pPr>
      <w:r w:rsidRPr="00AB66F4">
        <w:rPr>
          <w:rFonts w:ascii="Times New Roman" w:hAnsi="Times New Roman" w:cs="Times New Roman"/>
          <w:sz w:val="24"/>
          <w:szCs w:val="24"/>
        </w:rPr>
        <w:t>…седи на касата и поглежда недоверчиво, под вежди, любопитните посетители.</w:t>
      </w:r>
    </w:p>
    <w:p w14:paraId="32BE96E6" w14:textId="77777777" w:rsidR="0011178F" w:rsidRPr="00AB66F4" w:rsidRDefault="0011178F" w:rsidP="00AB66F4">
      <w:pPr>
        <w:pStyle w:val="ListParagraph"/>
        <w:numPr>
          <w:ilvl w:val="0"/>
          <w:numId w:val="1"/>
        </w:numPr>
        <w:ind w:left="1417" w:right="1417"/>
        <w:rPr>
          <w:rFonts w:ascii="Times New Roman" w:hAnsi="Times New Roman" w:cs="Times New Roman"/>
          <w:sz w:val="24"/>
          <w:szCs w:val="24"/>
        </w:rPr>
      </w:pPr>
      <w:r w:rsidRPr="00AB66F4">
        <w:rPr>
          <w:rFonts w:ascii="Times New Roman" w:hAnsi="Times New Roman" w:cs="Times New Roman"/>
          <w:sz w:val="24"/>
          <w:szCs w:val="24"/>
        </w:rPr>
        <w:t>…винаги любезен, постоянно им преподава география по картата, като почва уроците си от Цариград(….)</w:t>
      </w:r>
    </w:p>
    <w:p w14:paraId="54AFD563" w14:textId="77777777" w:rsidR="0011178F" w:rsidRPr="00AB66F4" w:rsidRDefault="0011178F" w:rsidP="00AB66F4">
      <w:pPr>
        <w:pStyle w:val="ListParagraph"/>
        <w:numPr>
          <w:ilvl w:val="0"/>
          <w:numId w:val="1"/>
        </w:numPr>
        <w:ind w:left="1417" w:right="1417"/>
        <w:rPr>
          <w:rFonts w:ascii="Times New Roman" w:hAnsi="Times New Roman" w:cs="Times New Roman"/>
          <w:sz w:val="24"/>
          <w:szCs w:val="24"/>
        </w:rPr>
      </w:pPr>
      <w:r w:rsidRPr="00AB66F4">
        <w:rPr>
          <w:rFonts w:ascii="Times New Roman" w:hAnsi="Times New Roman" w:cs="Times New Roman"/>
          <w:sz w:val="24"/>
          <w:szCs w:val="24"/>
        </w:rPr>
        <w:t>…седи по турски върху сандък, постлан с килим, някой си българин(…)</w:t>
      </w:r>
    </w:p>
    <w:p w14:paraId="789A1D04" w14:textId="77777777" w:rsidR="0011178F" w:rsidRPr="00AB66F4" w:rsidRDefault="0011178F" w:rsidP="00AB66F4">
      <w:pPr>
        <w:pStyle w:val="ListParagraph"/>
        <w:ind w:left="1417" w:right="1417"/>
        <w:rPr>
          <w:rFonts w:ascii="Times New Roman" w:hAnsi="Times New Roman" w:cs="Times New Roman"/>
          <w:sz w:val="24"/>
          <w:szCs w:val="24"/>
        </w:rPr>
      </w:pPr>
    </w:p>
    <w:p w14:paraId="4B580B6D" w14:textId="77777777" w:rsidR="0011178F" w:rsidRPr="00AB66F4" w:rsidRDefault="0011178F" w:rsidP="00AB66F4">
      <w:pPr>
        <w:pStyle w:val="ListParagraph"/>
        <w:ind w:left="1417" w:right="1417"/>
        <w:rPr>
          <w:rFonts w:ascii="Times New Roman" w:hAnsi="Times New Roman" w:cs="Times New Roman"/>
          <w:sz w:val="24"/>
          <w:szCs w:val="24"/>
        </w:rPr>
      </w:pPr>
      <w:r w:rsidRPr="00AB66F4">
        <w:rPr>
          <w:rFonts w:ascii="Times New Roman" w:hAnsi="Times New Roman" w:cs="Times New Roman"/>
          <w:sz w:val="24"/>
          <w:szCs w:val="24"/>
        </w:rPr>
        <w:t>Господин Шопов - ……….                          Ганьо Сомов - ……………                Айвазиян - …………………..</w:t>
      </w:r>
    </w:p>
    <w:p w14:paraId="0BBB40DF" w14:textId="77777777" w:rsidR="0011178F" w:rsidRPr="00AB66F4" w:rsidRDefault="0011178F" w:rsidP="00AB66F4">
      <w:pPr>
        <w:pStyle w:val="ListParagraph"/>
        <w:ind w:left="1417" w:right="1417"/>
        <w:rPr>
          <w:rFonts w:ascii="Times New Roman" w:hAnsi="Times New Roman" w:cs="Times New Roman"/>
          <w:sz w:val="24"/>
          <w:szCs w:val="24"/>
        </w:rPr>
      </w:pPr>
    </w:p>
    <w:p w14:paraId="29B4708C" w14:textId="77777777" w:rsidR="0011178F" w:rsidRPr="00AB66F4" w:rsidRDefault="0011178F" w:rsidP="00AB66F4">
      <w:pPr>
        <w:pStyle w:val="ListParagraph"/>
        <w:ind w:left="1417" w:right="1417"/>
        <w:rPr>
          <w:rFonts w:ascii="Times New Roman" w:hAnsi="Times New Roman" w:cs="Times New Roman"/>
          <w:b/>
          <w:sz w:val="24"/>
          <w:szCs w:val="24"/>
        </w:rPr>
      </w:pPr>
      <w:r w:rsidRPr="00AB66F4">
        <w:rPr>
          <w:rFonts w:ascii="Times New Roman" w:hAnsi="Times New Roman" w:cs="Times New Roman"/>
          <w:b/>
          <w:sz w:val="24"/>
          <w:szCs w:val="24"/>
        </w:rPr>
        <w:t xml:space="preserve">Зад. 3 </w:t>
      </w:r>
      <w:r w:rsidR="00FE778D" w:rsidRPr="00AB66F4">
        <w:rPr>
          <w:rFonts w:ascii="Times New Roman" w:hAnsi="Times New Roman" w:cs="Times New Roman"/>
          <w:b/>
          <w:sz w:val="24"/>
          <w:szCs w:val="24"/>
        </w:rPr>
        <w:t>Съпоставете ценностите на Ганьо Сомов и Алеко Константинов, като отговорите на въпросите.</w:t>
      </w:r>
    </w:p>
    <w:p w14:paraId="0A4E73EB" w14:textId="77777777" w:rsidR="00FE778D" w:rsidRPr="00AB66F4" w:rsidRDefault="00FE778D" w:rsidP="00AB66F4">
      <w:pPr>
        <w:pStyle w:val="ListParagraph"/>
        <w:ind w:left="1417" w:right="1417"/>
        <w:rPr>
          <w:rFonts w:ascii="Times New Roman" w:hAnsi="Times New Roman" w:cs="Times New Roman"/>
          <w:b/>
          <w:sz w:val="24"/>
          <w:szCs w:val="24"/>
        </w:rPr>
      </w:pPr>
    </w:p>
    <w:tbl>
      <w:tblPr>
        <w:tblStyle w:val="TableGrid"/>
        <w:tblW w:w="0" w:type="auto"/>
        <w:tblInd w:w="720" w:type="dxa"/>
        <w:tblLook w:val="04A0" w:firstRow="1" w:lastRow="0" w:firstColumn="1" w:lastColumn="0" w:noHBand="0" w:noVBand="1"/>
      </w:tblPr>
      <w:tblGrid>
        <w:gridCol w:w="2819"/>
        <w:gridCol w:w="2846"/>
        <w:gridCol w:w="2677"/>
      </w:tblGrid>
      <w:tr w:rsidR="00AB66F4" w:rsidRPr="00AB66F4" w14:paraId="0CF9170E" w14:textId="77777777" w:rsidTr="00FE778D">
        <w:tc>
          <w:tcPr>
            <w:tcW w:w="3070" w:type="dxa"/>
          </w:tcPr>
          <w:p w14:paraId="7EC1B5AA" w14:textId="77777777" w:rsidR="00FE778D" w:rsidRPr="00AB66F4" w:rsidRDefault="00FE778D" w:rsidP="00AB66F4">
            <w:pPr>
              <w:ind w:right="-72"/>
              <w:rPr>
                <w:rFonts w:ascii="Times New Roman" w:hAnsi="Times New Roman" w:cs="Times New Roman"/>
                <w:sz w:val="24"/>
                <w:szCs w:val="24"/>
              </w:rPr>
            </w:pPr>
            <w:r w:rsidRPr="00AB66F4">
              <w:rPr>
                <w:rFonts w:ascii="Times New Roman" w:hAnsi="Times New Roman" w:cs="Times New Roman"/>
                <w:sz w:val="24"/>
                <w:szCs w:val="24"/>
              </w:rPr>
              <w:t>Въпроси за съпоставка</w:t>
            </w:r>
          </w:p>
        </w:tc>
        <w:tc>
          <w:tcPr>
            <w:tcW w:w="3071" w:type="dxa"/>
          </w:tcPr>
          <w:p w14:paraId="68633CE8" w14:textId="77777777" w:rsidR="00FE778D" w:rsidRPr="00AB66F4" w:rsidRDefault="00FE778D" w:rsidP="00AB66F4">
            <w:pPr>
              <w:ind w:right="1417"/>
              <w:rPr>
                <w:rFonts w:ascii="Times New Roman" w:hAnsi="Times New Roman" w:cs="Times New Roman"/>
                <w:sz w:val="24"/>
                <w:szCs w:val="24"/>
              </w:rPr>
            </w:pPr>
            <w:r w:rsidRPr="00AB66F4">
              <w:rPr>
                <w:rFonts w:ascii="Times New Roman" w:hAnsi="Times New Roman" w:cs="Times New Roman"/>
                <w:sz w:val="24"/>
                <w:szCs w:val="24"/>
              </w:rPr>
              <w:t>Ганьо Сомов</w:t>
            </w:r>
          </w:p>
        </w:tc>
        <w:tc>
          <w:tcPr>
            <w:tcW w:w="3071" w:type="dxa"/>
          </w:tcPr>
          <w:p w14:paraId="42247DC0" w14:textId="77777777" w:rsidR="00FE778D" w:rsidRPr="00AB66F4" w:rsidRDefault="00AB66F4" w:rsidP="00AB66F4">
            <w:pPr>
              <w:ind w:right="51"/>
              <w:rPr>
                <w:rFonts w:ascii="Times New Roman" w:hAnsi="Times New Roman" w:cs="Times New Roman"/>
                <w:sz w:val="24"/>
                <w:szCs w:val="24"/>
              </w:rPr>
            </w:pPr>
            <w:r>
              <w:rPr>
                <w:rFonts w:ascii="Times New Roman" w:hAnsi="Times New Roman" w:cs="Times New Roman"/>
                <w:sz w:val="24"/>
                <w:szCs w:val="24"/>
              </w:rPr>
              <w:t xml:space="preserve">Алеко </w:t>
            </w:r>
            <w:r w:rsidR="00FE778D" w:rsidRPr="00AB66F4">
              <w:rPr>
                <w:rFonts w:ascii="Times New Roman" w:hAnsi="Times New Roman" w:cs="Times New Roman"/>
                <w:sz w:val="24"/>
                <w:szCs w:val="24"/>
              </w:rPr>
              <w:t>Константинов</w:t>
            </w:r>
          </w:p>
        </w:tc>
      </w:tr>
      <w:tr w:rsidR="00AB66F4" w:rsidRPr="00AB66F4" w14:paraId="6FBB7130" w14:textId="77777777" w:rsidTr="00FE778D">
        <w:tc>
          <w:tcPr>
            <w:tcW w:w="3070" w:type="dxa"/>
          </w:tcPr>
          <w:p w14:paraId="4AF62191" w14:textId="77777777" w:rsidR="00FE778D" w:rsidRPr="00AB66F4" w:rsidRDefault="00FE778D" w:rsidP="00AB66F4">
            <w:pPr>
              <w:pStyle w:val="ListParagraph"/>
              <w:numPr>
                <w:ilvl w:val="0"/>
                <w:numId w:val="2"/>
              </w:numPr>
              <w:ind w:left="298" w:right="69" w:hanging="283"/>
              <w:jc w:val="both"/>
              <w:rPr>
                <w:rFonts w:ascii="Times New Roman" w:hAnsi="Times New Roman" w:cs="Times New Roman"/>
                <w:sz w:val="24"/>
                <w:szCs w:val="24"/>
              </w:rPr>
            </w:pPr>
            <w:r w:rsidRPr="00AB66F4">
              <w:rPr>
                <w:rFonts w:ascii="Times New Roman" w:hAnsi="Times New Roman" w:cs="Times New Roman"/>
                <w:sz w:val="24"/>
                <w:szCs w:val="24"/>
              </w:rPr>
              <w:t>С каква цел пътуват до Чикаго?</w:t>
            </w:r>
          </w:p>
        </w:tc>
        <w:tc>
          <w:tcPr>
            <w:tcW w:w="3071" w:type="dxa"/>
          </w:tcPr>
          <w:p w14:paraId="5F729B54" w14:textId="77777777" w:rsidR="00FE778D" w:rsidRPr="00AB66F4" w:rsidRDefault="00FE778D" w:rsidP="00AB66F4">
            <w:pPr>
              <w:pStyle w:val="ListParagraph"/>
              <w:ind w:left="1417" w:right="1417"/>
              <w:rPr>
                <w:rFonts w:ascii="Times New Roman" w:hAnsi="Times New Roman" w:cs="Times New Roman"/>
                <w:sz w:val="24"/>
                <w:szCs w:val="24"/>
              </w:rPr>
            </w:pPr>
          </w:p>
        </w:tc>
        <w:tc>
          <w:tcPr>
            <w:tcW w:w="3071" w:type="dxa"/>
          </w:tcPr>
          <w:p w14:paraId="4ABDD5AF" w14:textId="77777777" w:rsidR="00FE778D" w:rsidRPr="00AB66F4" w:rsidRDefault="00FE778D" w:rsidP="00AB66F4">
            <w:pPr>
              <w:pStyle w:val="ListParagraph"/>
              <w:ind w:left="1417" w:right="1417"/>
              <w:rPr>
                <w:rFonts w:ascii="Times New Roman" w:hAnsi="Times New Roman" w:cs="Times New Roman"/>
                <w:sz w:val="24"/>
                <w:szCs w:val="24"/>
              </w:rPr>
            </w:pPr>
          </w:p>
        </w:tc>
      </w:tr>
      <w:tr w:rsidR="00AB66F4" w:rsidRPr="00AB66F4" w14:paraId="47B73C43" w14:textId="77777777" w:rsidTr="00FE778D">
        <w:tc>
          <w:tcPr>
            <w:tcW w:w="3070" w:type="dxa"/>
          </w:tcPr>
          <w:p w14:paraId="04F23DBF" w14:textId="77777777" w:rsidR="00FE778D" w:rsidRPr="00AB66F4" w:rsidRDefault="00FE778D" w:rsidP="00AB66F4">
            <w:pPr>
              <w:pStyle w:val="ListParagraph"/>
              <w:numPr>
                <w:ilvl w:val="0"/>
                <w:numId w:val="2"/>
              </w:numPr>
              <w:ind w:left="298" w:right="69" w:hanging="283"/>
              <w:jc w:val="both"/>
              <w:rPr>
                <w:rFonts w:ascii="Times New Roman" w:hAnsi="Times New Roman" w:cs="Times New Roman"/>
                <w:sz w:val="24"/>
                <w:szCs w:val="24"/>
              </w:rPr>
            </w:pPr>
            <w:r w:rsidRPr="00AB66F4">
              <w:rPr>
                <w:rFonts w:ascii="Times New Roman" w:hAnsi="Times New Roman" w:cs="Times New Roman"/>
                <w:sz w:val="24"/>
                <w:szCs w:val="24"/>
              </w:rPr>
              <w:t>Какво е отношението им към изложението и към павилионите на другите държави?</w:t>
            </w:r>
          </w:p>
        </w:tc>
        <w:tc>
          <w:tcPr>
            <w:tcW w:w="3071" w:type="dxa"/>
          </w:tcPr>
          <w:p w14:paraId="5C376CE0" w14:textId="77777777" w:rsidR="00FE778D" w:rsidRPr="00AB66F4" w:rsidRDefault="00FE778D" w:rsidP="00AB66F4">
            <w:pPr>
              <w:pStyle w:val="ListParagraph"/>
              <w:ind w:left="1417" w:right="1417"/>
              <w:rPr>
                <w:rFonts w:ascii="Times New Roman" w:hAnsi="Times New Roman" w:cs="Times New Roman"/>
                <w:sz w:val="24"/>
                <w:szCs w:val="24"/>
              </w:rPr>
            </w:pPr>
          </w:p>
        </w:tc>
        <w:tc>
          <w:tcPr>
            <w:tcW w:w="3071" w:type="dxa"/>
          </w:tcPr>
          <w:p w14:paraId="5558B8D2" w14:textId="77777777" w:rsidR="00FE778D" w:rsidRPr="00AB66F4" w:rsidRDefault="00FE778D" w:rsidP="00AB66F4">
            <w:pPr>
              <w:pStyle w:val="ListParagraph"/>
              <w:ind w:left="1417" w:right="1417"/>
              <w:rPr>
                <w:rFonts w:ascii="Times New Roman" w:hAnsi="Times New Roman" w:cs="Times New Roman"/>
                <w:sz w:val="24"/>
                <w:szCs w:val="24"/>
              </w:rPr>
            </w:pPr>
          </w:p>
        </w:tc>
      </w:tr>
      <w:tr w:rsidR="00AB66F4" w:rsidRPr="00AB66F4" w14:paraId="0F7C91F1" w14:textId="77777777" w:rsidTr="00FE778D">
        <w:tc>
          <w:tcPr>
            <w:tcW w:w="3070" w:type="dxa"/>
          </w:tcPr>
          <w:p w14:paraId="5B8FA65D" w14:textId="77777777" w:rsidR="00FE778D" w:rsidRPr="00AB66F4" w:rsidRDefault="00FE778D" w:rsidP="00AB66F4">
            <w:pPr>
              <w:pStyle w:val="ListParagraph"/>
              <w:numPr>
                <w:ilvl w:val="0"/>
                <w:numId w:val="2"/>
              </w:numPr>
              <w:ind w:left="298" w:right="69" w:hanging="283"/>
              <w:jc w:val="both"/>
              <w:rPr>
                <w:rFonts w:ascii="Times New Roman" w:hAnsi="Times New Roman" w:cs="Times New Roman"/>
                <w:sz w:val="24"/>
                <w:szCs w:val="24"/>
              </w:rPr>
            </w:pPr>
            <w:r w:rsidRPr="00AB66F4">
              <w:rPr>
                <w:rFonts w:ascii="Times New Roman" w:hAnsi="Times New Roman" w:cs="Times New Roman"/>
                <w:sz w:val="24"/>
                <w:szCs w:val="24"/>
              </w:rPr>
              <w:t>Как се отнасят към бита и културата на американците?</w:t>
            </w:r>
          </w:p>
        </w:tc>
        <w:tc>
          <w:tcPr>
            <w:tcW w:w="3071" w:type="dxa"/>
          </w:tcPr>
          <w:p w14:paraId="30EE1753" w14:textId="77777777" w:rsidR="00FE778D" w:rsidRPr="00AB66F4" w:rsidRDefault="00FE778D" w:rsidP="00AB66F4">
            <w:pPr>
              <w:pStyle w:val="ListParagraph"/>
              <w:ind w:left="1417" w:right="1417"/>
              <w:rPr>
                <w:rFonts w:ascii="Times New Roman" w:hAnsi="Times New Roman" w:cs="Times New Roman"/>
                <w:sz w:val="24"/>
                <w:szCs w:val="24"/>
              </w:rPr>
            </w:pPr>
          </w:p>
        </w:tc>
        <w:tc>
          <w:tcPr>
            <w:tcW w:w="3071" w:type="dxa"/>
          </w:tcPr>
          <w:p w14:paraId="3901A751" w14:textId="77777777" w:rsidR="00FE778D" w:rsidRPr="00AB66F4" w:rsidRDefault="00FE778D" w:rsidP="00AB66F4">
            <w:pPr>
              <w:pStyle w:val="ListParagraph"/>
              <w:ind w:left="1417" w:right="1417"/>
              <w:rPr>
                <w:rFonts w:ascii="Times New Roman" w:hAnsi="Times New Roman" w:cs="Times New Roman"/>
                <w:sz w:val="24"/>
                <w:szCs w:val="24"/>
              </w:rPr>
            </w:pPr>
          </w:p>
        </w:tc>
      </w:tr>
      <w:tr w:rsidR="00AB66F4" w:rsidRPr="00AB66F4" w14:paraId="40125641" w14:textId="77777777" w:rsidTr="00FE778D">
        <w:tc>
          <w:tcPr>
            <w:tcW w:w="3070" w:type="dxa"/>
          </w:tcPr>
          <w:p w14:paraId="38F770EA" w14:textId="77777777" w:rsidR="00FE778D" w:rsidRPr="00AB66F4" w:rsidRDefault="00FE778D" w:rsidP="00AB66F4">
            <w:pPr>
              <w:pStyle w:val="ListParagraph"/>
              <w:numPr>
                <w:ilvl w:val="0"/>
                <w:numId w:val="2"/>
              </w:numPr>
              <w:ind w:left="298" w:right="69" w:hanging="283"/>
              <w:jc w:val="both"/>
              <w:rPr>
                <w:rFonts w:ascii="Times New Roman" w:hAnsi="Times New Roman" w:cs="Times New Roman"/>
                <w:sz w:val="24"/>
                <w:szCs w:val="24"/>
              </w:rPr>
            </w:pPr>
            <w:r w:rsidRPr="00AB66F4">
              <w:rPr>
                <w:rFonts w:ascii="Times New Roman" w:hAnsi="Times New Roman" w:cs="Times New Roman"/>
                <w:sz w:val="24"/>
                <w:szCs w:val="24"/>
              </w:rPr>
              <w:t>Какво е самочувствието им и как се формира?</w:t>
            </w:r>
          </w:p>
        </w:tc>
        <w:tc>
          <w:tcPr>
            <w:tcW w:w="3071" w:type="dxa"/>
          </w:tcPr>
          <w:p w14:paraId="07B39ADA" w14:textId="77777777" w:rsidR="00FE778D" w:rsidRPr="00AB66F4" w:rsidRDefault="00FE778D" w:rsidP="00AB66F4">
            <w:pPr>
              <w:pStyle w:val="ListParagraph"/>
              <w:ind w:left="1417" w:right="1417"/>
              <w:rPr>
                <w:rFonts w:ascii="Times New Roman" w:hAnsi="Times New Roman" w:cs="Times New Roman"/>
                <w:sz w:val="24"/>
                <w:szCs w:val="24"/>
              </w:rPr>
            </w:pPr>
          </w:p>
        </w:tc>
        <w:tc>
          <w:tcPr>
            <w:tcW w:w="3071" w:type="dxa"/>
          </w:tcPr>
          <w:p w14:paraId="10484882" w14:textId="77777777" w:rsidR="00FE778D" w:rsidRPr="00AB66F4" w:rsidRDefault="00FE778D" w:rsidP="00AB66F4">
            <w:pPr>
              <w:pStyle w:val="ListParagraph"/>
              <w:ind w:left="1417" w:right="1417"/>
              <w:rPr>
                <w:rFonts w:ascii="Times New Roman" w:hAnsi="Times New Roman" w:cs="Times New Roman"/>
                <w:sz w:val="24"/>
                <w:szCs w:val="24"/>
              </w:rPr>
            </w:pPr>
          </w:p>
        </w:tc>
      </w:tr>
    </w:tbl>
    <w:p w14:paraId="4CE308DC" w14:textId="77777777" w:rsidR="00291C0D" w:rsidRPr="00877F7D" w:rsidRDefault="00291C0D" w:rsidP="00877F7D">
      <w:pPr>
        <w:ind w:right="1417"/>
        <w:rPr>
          <w:rFonts w:ascii="Times New Roman" w:hAnsi="Times New Roman" w:cs="Times New Roman"/>
          <w:sz w:val="24"/>
          <w:szCs w:val="24"/>
        </w:rPr>
      </w:pPr>
    </w:p>
    <w:p w14:paraId="3CD7ABE6" w14:textId="77777777" w:rsidR="00291C0D" w:rsidRPr="00AB66F4" w:rsidRDefault="00AB66F4" w:rsidP="00AB66F4">
      <w:pPr>
        <w:pStyle w:val="ListParagraph"/>
        <w:ind w:left="1417" w:right="1417"/>
        <w:rPr>
          <w:rFonts w:ascii="Times New Roman" w:hAnsi="Times New Roman" w:cs="Times New Roman"/>
          <w:b/>
          <w:sz w:val="24"/>
          <w:szCs w:val="24"/>
        </w:rPr>
      </w:pPr>
      <w:r w:rsidRPr="00AB66F4">
        <w:rPr>
          <w:rFonts w:ascii="Times New Roman" w:hAnsi="Times New Roman" w:cs="Times New Roman"/>
          <w:b/>
          <w:sz w:val="24"/>
          <w:szCs w:val="24"/>
        </w:rPr>
        <w:t>Зад. 4</w:t>
      </w:r>
      <w:r w:rsidR="00291C0D" w:rsidRPr="00AB66F4">
        <w:rPr>
          <w:rFonts w:ascii="Times New Roman" w:hAnsi="Times New Roman" w:cs="Times New Roman"/>
          <w:b/>
          <w:sz w:val="24"/>
          <w:szCs w:val="24"/>
        </w:rPr>
        <w:t xml:space="preserve"> Тълкувайте с 4-5 изречения внушенията на думите „А бе лаф пара не чини, защо не им кажете да купят нещо?”.</w:t>
      </w:r>
    </w:p>
    <w:p w14:paraId="38EA7770" w14:textId="77777777" w:rsidR="00291C0D" w:rsidRPr="00AB66F4" w:rsidRDefault="00291C0D" w:rsidP="00AB66F4">
      <w:pPr>
        <w:pStyle w:val="ListParagraph"/>
        <w:numPr>
          <w:ilvl w:val="0"/>
          <w:numId w:val="3"/>
        </w:numPr>
        <w:ind w:left="1417" w:right="1417"/>
        <w:rPr>
          <w:rFonts w:ascii="Times New Roman" w:hAnsi="Times New Roman" w:cs="Times New Roman"/>
          <w:sz w:val="24"/>
          <w:szCs w:val="24"/>
        </w:rPr>
      </w:pPr>
      <w:r w:rsidRPr="00AB66F4">
        <w:rPr>
          <w:rFonts w:ascii="Times New Roman" w:hAnsi="Times New Roman" w:cs="Times New Roman"/>
          <w:sz w:val="24"/>
          <w:szCs w:val="24"/>
        </w:rPr>
        <w:t>Уточнете кой казва тези думи и в каква ситуация.</w:t>
      </w:r>
    </w:p>
    <w:p w14:paraId="15F4D836" w14:textId="77777777" w:rsidR="00291C0D" w:rsidRPr="00AB66F4" w:rsidRDefault="00291C0D" w:rsidP="00AB66F4">
      <w:pPr>
        <w:pStyle w:val="ListParagraph"/>
        <w:numPr>
          <w:ilvl w:val="0"/>
          <w:numId w:val="3"/>
        </w:numPr>
        <w:ind w:left="1417" w:right="1417"/>
        <w:rPr>
          <w:rFonts w:ascii="Times New Roman" w:hAnsi="Times New Roman" w:cs="Times New Roman"/>
          <w:sz w:val="24"/>
          <w:szCs w:val="24"/>
        </w:rPr>
      </w:pPr>
      <w:r w:rsidRPr="00AB66F4">
        <w:rPr>
          <w:rFonts w:ascii="Times New Roman" w:hAnsi="Times New Roman" w:cs="Times New Roman"/>
          <w:sz w:val="24"/>
          <w:szCs w:val="24"/>
        </w:rPr>
        <w:t>Разтълкувайте употребата на турската дума „лаф” в разговорния израз „лаф пара не чини”. Какво означава това фразеологично словосъчетание?</w:t>
      </w:r>
    </w:p>
    <w:p w14:paraId="2FD4C8A2" w14:textId="50F15CF3" w:rsidR="00AB66F4" w:rsidRPr="00877F7D" w:rsidRDefault="00291C0D" w:rsidP="00877F7D">
      <w:pPr>
        <w:pStyle w:val="ListParagraph"/>
        <w:numPr>
          <w:ilvl w:val="0"/>
          <w:numId w:val="3"/>
        </w:numPr>
        <w:ind w:left="1417" w:right="1417"/>
        <w:rPr>
          <w:rFonts w:ascii="Times New Roman" w:hAnsi="Times New Roman" w:cs="Times New Roman"/>
          <w:sz w:val="24"/>
          <w:szCs w:val="24"/>
        </w:rPr>
      </w:pPr>
      <w:r w:rsidRPr="00AB66F4">
        <w:rPr>
          <w:rFonts w:ascii="Times New Roman" w:hAnsi="Times New Roman" w:cs="Times New Roman"/>
          <w:sz w:val="24"/>
          <w:szCs w:val="24"/>
        </w:rPr>
        <w:t>Изяснете функцията на реторичния въпрос и на използвания в него глагол „да купят”. Направете извод как тази фраза разкрива манталитета на ориенталеца.</w:t>
      </w:r>
    </w:p>
    <w:p w14:paraId="1121C8FE" w14:textId="77777777" w:rsidR="00AB66F4" w:rsidRPr="00AB66F4" w:rsidRDefault="00AB66F4" w:rsidP="00AB66F4">
      <w:pPr>
        <w:pStyle w:val="ListParagraph"/>
        <w:ind w:left="1417" w:right="1417"/>
        <w:rPr>
          <w:rFonts w:ascii="Times New Roman" w:hAnsi="Times New Roman" w:cs="Times New Roman"/>
          <w:sz w:val="24"/>
          <w:szCs w:val="24"/>
        </w:rPr>
      </w:pPr>
      <w:r>
        <w:rPr>
          <w:rFonts w:ascii="Times New Roman" w:hAnsi="Times New Roman" w:cs="Times New Roman"/>
          <w:sz w:val="24"/>
          <w:szCs w:val="24"/>
        </w:rPr>
        <w:t>Домашна работа за 25.03. 20г. – Прочит на откъса от книгата „Бай Ганьо”, уч.тетрадка по литература – стр.38</w:t>
      </w:r>
    </w:p>
    <w:sectPr w:rsidR="00AB66F4" w:rsidRPr="00AB66F4" w:rsidSect="00FB5F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86452"/>
    <w:multiLevelType w:val="hybridMultilevel"/>
    <w:tmpl w:val="C44C212E"/>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 w15:restartNumberingAfterBreak="0">
    <w:nsid w:val="4BC911F3"/>
    <w:multiLevelType w:val="hybridMultilevel"/>
    <w:tmpl w:val="F132D3C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4CFD4D90"/>
    <w:multiLevelType w:val="hybridMultilevel"/>
    <w:tmpl w:val="DBC0EDB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78F"/>
    <w:rsid w:val="000430E1"/>
    <w:rsid w:val="0011178F"/>
    <w:rsid w:val="002174A3"/>
    <w:rsid w:val="00291C0D"/>
    <w:rsid w:val="00877F7D"/>
    <w:rsid w:val="008A66B9"/>
    <w:rsid w:val="00AB66F4"/>
    <w:rsid w:val="00FB5FF9"/>
    <w:rsid w:val="00FE778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E7469"/>
  <w15:docId w15:val="{F46CF7C4-8F4A-4A69-9725-58375EA28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F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178F"/>
    <w:pPr>
      <w:ind w:left="720"/>
      <w:contextualSpacing/>
    </w:pPr>
  </w:style>
  <w:style w:type="table" w:styleId="TableGrid">
    <w:name w:val="Table Grid"/>
    <w:basedOn w:val="TableNormal"/>
    <w:uiPriority w:val="59"/>
    <w:rsid w:val="00FE778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901</Words>
  <Characters>5139</Characters>
  <Application>Microsoft Office Word</Application>
  <DocSecurity>0</DocSecurity>
  <Lines>42</Lines>
  <Paragraphs>12</Paragraphs>
  <ScaleCrop>false</ScaleCrop>
  <HeadingPairs>
    <vt:vector size="2" baseType="variant">
      <vt:variant>
        <vt:lpstr>Заглавие</vt:lpstr>
      </vt:variant>
      <vt:variant>
        <vt:i4>1</vt:i4>
      </vt:variant>
    </vt:vector>
  </HeadingPairs>
  <TitlesOfParts>
    <vt:vector size="1" baseType="lpstr">
      <vt:lpstr/>
    </vt:vector>
  </TitlesOfParts>
  <Company>by adguard</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Isidor</dc:creator>
  <cp:lastModifiedBy>Заприна Г. Глушкова</cp:lastModifiedBy>
  <cp:revision>4</cp:revision>
  <dcterms:created xsi:type="dcterms:W3CDTF">2021-10-27T14:07:00Z</dcterms:created>
  <dcterms:modified xsi:type="dcterms:W3CDTF">2021-10-29T20:02:00Z</dcterms:modified>
</cp:coreProperties>
</file>