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70" w:rsidRPr="00795970" w:rsidRDefault="00795970" w:rsidP="00795970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color w:val="333333"/>
          <w:sz w:val="46"/>
          <w:szCs w:val="46"/>
          <w:lang w:eastAsia="bg-BG"/>
        </w:rPr>
      </w:pPr>
      <w:r w:rsidRPr="00795970">
        <w:rPr>
          <w:rFonts w:ascii="Arial" w:eastAsia="Times New Roman" w:hAnsi="Arial" w:cs="Arial"/>
          <w:color w:val="333333"/>
          <w:sz w:val="46"/>
          <w:szCs w:val="46"/>
          <w:lang w:eastAsia="bg-BG"/>
        </w:rPr>
        <w:t>Схема “Училищно мляко”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noProof/>
          <w:color w:val="39B4ED"/>
          <w:sz w:val="21"/>
          <w:szCs w:val="21"/>
          <w:lang w:eastAsia="bg-BG"/>
        </w:rPr>
        <w:drawing>
          <wp:inline distT="0" distB="0" distL="0" distR="0" wp14:anchorId="293627DB" wp14:editId="73AA9ED8">
            <wp:extent cx="857250" cy="1190625"/>
            <wp:effectExtent l="0" t="0" r="0" b="9525"/>
            <wp:docPr id="2" name="Картина 2" descr="th_milk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_milk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Схемата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“Училищно мляко”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 се прилага през учебната година и включва периода от 15 септември до 31 май. Доставките на млякото и млечните продукти по схемата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“Училищно мляко”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 се извършват след получаване на одобрение. Млякото и млечните продукти по схемата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“Училищно мляко”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 се предоставят на следните групи учащи се, посещаващи редовно учебни заведения: 1. децата от I до подготвителна група включително в държавните, общинските и частните детски градини; 2. децата от подготвителната група и учениците от І до IV клас включително в държавните, общинските и частните училища.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Всички продукти, разпределяни по схемата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“Училищно мляко”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 xml:space="preserve">, трябва да са произведени в одобрени обекти на територията на ЕС и да се доставят в индивидуални или неиндивидуални опаковки с </w:t>
      </w:r>
      <w:proofErr w:type="spellStart"/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ненарушена</w:t>
      </w:r>
      <w:proofErr w:type="spellEnd"/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 xml:space="preserve"> цялост. Неиндивидуалните опаковки могат да бъдат отваряни, нарязвани или разливани в учебни заведения, които разполагат с помещения за приготвяне или раздаване на храна, регистрирани по реда на чл. 12 от Закона за храните.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Млякото и млечни продукти се предоставят на децата и учениците чрез извършване на 45 доставки в рамките на учебната година. Продуктите се раздават равномерно чрез извършване средно по две доставки на седмица по предварително утвърден график, но не повече от десет доставки на месец.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Децата и учениците получават мляко и млечни продукти само през учебните дни, с изключение на ваканциите. Общия брой на учебните дни се обявява официално за всяка учебна година от Министерство на образованието и науката и се отразя в графика на доставките.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Учениците не получават мляко и млечни продукти по време на отсъствие от училище/ детска градина или при участието им във ваканционни лагери.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Млякото и млечни продукти се предоставят на децата и учениците в съответствие с изискванията за здравословно хранене, определени с Наредба № 6 от 2011 г. за здравословно хранене на децата на възраст от 3 до 7 години в детски заведения (ДВ, бр. 65 от 2011 г.) и Наредба № 37 от 2009 г. за здравословно хранене на учениците (ДВ, бр. 63 от 2009 г.).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Схема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„Училищно мляко”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 има за цел да насърчава консумацията на прясно и кисело мляко и на други млечни продукти, като по този начин допринася за подобряване на хранителните навици на децата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Прилагането на тази схемата в училищата ще увеличи консумацията на мляко и млечни продукти от деца и ще допринесе за формирането на здравословни хранителни навици,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Схемата „Училищно мляко” в учебните заведения се прилага за постигане на следните цели: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1. трайно увеличаване на делът на млякото и млечните продукти в храненето на децата, във възрастта, когато се оформят хранителните им навици;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 xml:space="preserve">2. повишаване в дългосрочен план консумацията на мляко и млечни продукти сред децата, 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lastRenderedPageBreak/>
        <w:t>за да се създадат и насърчат здравословни хранителни навици;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3. стимулиране производството и реализацията на мляко.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br/>
        <w:t>Прилагането на схемата за предоставяне на мляко и млечни продукти в учебните заведения се финансира от Европейския фонд за гарантиране на земеделието, както и от държавния бюджет под формата на национална помощ съгласно чл. 217 от 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922/72, (ЕИО) № 234/79, (ЕО) № 1037/2001 и (ЕО) № 1234/2007 (ОВ, L 347 от 20.12.2013 г.);</w:t>
      </w:r>
    </w:p>
    <w:p w:rsidR="00795970" w:rsidRPr="00795970" w:rsidRDefault="00795970" w:rsidP="00795970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4F5E62"/>
          <w:sz w:val="21"/>
          <w:szCs w:val="21"/>
          <w:lang w:eastAsia="bg-BG"/>
        </w:rPr>
      </w:pP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Прилагането на схема </w:t>
      </w:r>
      <w:r w:rsidRPr="00795970">
        <w:rPr>
          <w:rFonts w:ascii="Arial" w:eastAsia="Times New Roman" w:hAnsi="Arial" w:cs="Arial"/>
          <w:b/>
          <w:bCs/>
          <w:color w:val="4F5E62"/>
          <w:sz w:val="21"/>
          <w:szCs w:val="21"/>
          <w:lang w:eastAsia="bg-BG"/>
        </w:rPr>
        <w:t>„Училищно мляко“</w:t>
      </w:r>
      <w:r w:rsidRPr="00795970">
        <w:rPr>
          <w:rFonts w:ascii="Arial" w:eastAsia="Times New Roman" w:hAnsi="Arial" w:cs="Arial"/>
          <w:color w:val="4F5E62"/>
          <w:sz w:val="21"/>
          <w:szCs w:val="21"/>
          <w:lang w:eastAsia="bg-BG"/>
        </w:rPr>
        <w:t> е съфинансирано със средства включени в бюджета на Държавен фонд „Земеделие”.</w:t>
      </w:r>
    </w:p>
    <w:p w:rsidR="00D10296" w:rsidRDefault="00D10296">
      <w:bookmarkStart w:id="0" w:name="_GoBack"/>
      <w:bookmarkEnd w:id="0"/>
    </w:p>
    <w:sectPr w:rsidR="00D1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A"/>
    <w:rsid w:val="006E65EA"/>
    <w:rsid w:val="00795970"/>
    <w:rsid w:val="00D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7654-248F-4FB3-BA73-4770E35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anbibiyan.com/wp-content/uploads/2016/01/th_milk2.jp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2</cp:revision>
  <dcterms:created xsi:type="dcterms:W3CDTF">2021-10-20T11:49:00Z</dcterms:created>
  <dcterms:modified xsi:type="dcterms:W3CDTF">2021-10-20T11:49:00Z</dcterms:modified>
</cp:coreProperties>
</file>